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rPr>
          <w:rFonts w:eastAsia="仿宋_GB2312" w:cs="宋体"/>
          <w:sz w:val="32"/>
          <w:szCs w:val="22"/>
        </w:rPr>
      </w:pPr>
      <w:r>
        <w:rPr>
          <w:rFonts w:hint="eastAsia" w:eastAsia="仿宋_GB2312" w:cs="宋体"/>
          <w:sz w:val="32"/>
          <w:szCs w:val="22"/>
        </w:rPr>
        <w:t>附件2</w:t>
      </w:r>
    </w:p>
    <w:p>
      <w:pPr>
        <w:rPr>
          <w:sz w:val="24"/>
          <w:szCs w:val="24"/>
        </w:rPr>
      </w:pPr>
    </w:p>
    <w:p>
      <w:pPr>
        <w:jc w:val="center"/>
        <w:rPr>
          <w:sz w:val="24"/>
          <w:szCs w:val="24"/>
        </w:rPr>
      </w:pPr>
    </w:p>
    <w:p>
      <w:pPr>
        <w:jc w:val="center"/>
        <w:rPr>
          <w:sz w:val="72"/>
          <w:szCs w:val="72"/>
        </w:rPr>
      </w:pPr>
    </w:p>
    <w:p>
      <w:pPr>
        <w:jc w:val="center"/>
        <w:rPr>
          <w:sz w:val="72"/>
          <w:szCs w:val="72"/>
        </w:rPr>
      </w:pPr>
    </w:p>
    <w:p>
      <w:pPr>
        <w:jc w:val="center"/>
        <w:rPr>
          <w:b/>
          <w:sz w:val="72"/>
          <w:szCs w:val="72"/>
        </w:rPr>
      </w:pPr>
      <w:r>
        <w:rPr>
          <w:rFonts w:hint="eastAsia"/>
          <w:b/>
          <w:sz w:val="72"/>
          <w:szCs w:val="72"/>
        </w:rPr>
        <w:t>建筑装饰行业</w:t>
      </w:r>
    </w:p>
    <w:p>
      <w:pPr>
        <w:jc w:val="center"/>
        <w:rPr>
          <w:b/>
          <w:sz w:val="72"/>
          <w:szCs w:val="72"/>
        </w:rPr>
      </w:pPr>
      <w:r>
        <w:rPr>
          <w:rFonts w:hint="eastAsia"/>
          <w:b/>
          <w:sz w:val="72"/>
          <w:szCs w:val="72"/>
        </w:rPr>
        <w:t>家装企业信用评价</w:t>
      </w:r>
      <w:r>
        <w:rPr>
          <w:b/>
          <w:sz w:val="72"/>
          <w:szCs w:val="72"/>
        </w:rPr>
        <w:t>体系</w:t>
      </w:r>
    </w:p>
    <w:p>
      <w:pPr>
        <w:jc w:val="center"/>
        <w:rPr>
          <w:b/>
          <w:sz w:val="72"/>
          <w:szCs w:val="72"/>
        </w:rPr>
      </w:pPr>
      <w:r>
        <w:rPr>
          <w:rFonts w:hint="eastAsia"/>
          <w:b/>
          <w:sz w:val="72"/>
          <w:szCs w:val="72"/>
        </w:rPr>
        <w:t>（试行）</w:t>
      </w:r>
    </w:p>
    <w:p>
      <w:pPr>
        <w:jc w:val="center"/>
        <w:rPr>
          <w:sz w:val="52"/>
          <w:szCs w:val="52"/>
        </w:rPr>
      </w:pPr>
    </w:p>
    <w:p>
      <w:pPr>
        <w:spacing w:before="312" w:beforeLines="100" w:after="312" w:afterLines="100"/>
        <w:jc w:val="center"/>
        <w:rPr>
          <w:rFonts w:ascii="宋体" w:hAnsi="宋体"/>
          <w:color w:val="FF0000"/>
        </w:rPr>
      </w:pPr>
    </w:p>
    <w:p>
      <w:pPr>
        <w:spacing w:before="312" w:beforeLines="100" w:after="312" w:afterLines="100"/>
        <w:jc w:val="center"/>
        <w:rPr>
          <w:rFonts w:ascii="宋体" w:hAnsi="宋体"/>
          <w:color w:val="FF0000"/>
        </w:rPr>
      </w:pPr>
      <w:r>
        <w:rPr>
          <w:rFonts w:hint="eastAsia" w:ascii="宋体" w:hAnsi="宋体"/>
          <w:color w:val="FF0000"/>
        </w:rPr>
        <w:t>、</w:t>
      </w:r>
    </w:p>
    <w:p>
      <w:pPr>
        <w:spacing w:before="312" w:beforeLines="100" w:after="312" w:afterLines="100"/>
        <w:jc w:val="center"/>
        <w:rPr>
          <w:rFonts w:ascii="宋体" w:hAnsi="宋体"/>
          <w:color w:val="FF0000"/>
        </w:rPr>
      </w:pPr>
    </w:p>
    <w:p>
      <w:pPr>
        <w:spacing w:before="312" w:beforeLines="100" w:after="312" w:afterLines="100"/>
        <w:jc w:val="center"/>
        <w:rPr>
          <w:rFonts w:ascii="宋体" w:hAnsi="宋体"/>
          <w:color w:val="FF0000"/>
        </w:rPr>
      </w:pPr>
    </w:p>
    <w:p>
      <w:pPr>
        <w:spacing w:before="312" w:beforeLines="100" w:after="312" w:afterLines="100"/>
        <w:jc w:val="center"/>
        <w:rPr>
          <w:rFonts w:ascii="宋体" w:hAnsi="宋体"/>
          <w:color w:val="FF0000"/>
        </w:rPr>
      </w:pPr>
    </w:p>
    <w:p>
      <w:pPr>
        <w:spacing w:before="312" w:beforeLines="100" w:after="312" w:afterLines="100"/>
        <w:jc w:val="both"/>
        <w:rPr>
          <w:rFonts w:ascii="宋体" w:hAnsi="宋体"/>
          <w:color w:val="FF0000"/>
        </w:rPr>
      </w:pPr>
    </w:p>
    <w:p>
      <w:pPr>
        <w:spacing w:before="312" w:beforeLines="100" w:after="312" w:afterLines="100"/>
        <w:jc w:val="center"/>
        <w:rPr>
          <w:rFonts w:ascii="宋体" w:hAnsi="宋体"/>
          <w:color w:val="FF0000"/>
        </w:rPr>
      </w:pPr>
    </w:p>
    <w:p>
      <w:pPr>
        <w:jc w:val="center"/>
        <w:rPr>
          <w:rFonts w:ascii="宋体" w:hAnsi="宋体"/>
          <w:sz w:val="28"/>
          <w:szCs w:val="28"/>
          <w:u w:val="single"/>
        </w:rPr>
      </w:pPr>
      <w:r>
        <w:rPr>
          <w:rFonts w:hint="eastAsia" w:ascii="宋体" w:hAnsi="宋体"/>
          <w:sz w:val="28"/>
          <w:szCs w:val="28"/>
          <w:u w:val="single"/>
        </w:rPr>
        <w:t xml:space="preserve">                                 2019年11月15日发布实施</w:t>
      </w:r>
    </w:p>
    <w:p>
      <w:pPr>
        <w:widowControl/>
        <w:jc w:val="left"/>
        <w:rPr>
          <w:rFonts w:ascii="宋体" w:hAnsi="宋体"/>
        </w:rPr>
      </w:pPr>
    </w:p>
    <w:p>
      <w:pPr>
        <w:ind w:right="1081" w:rightChars="515" w:firstLine="970" w:firstLineChars="302"/>
        <w:jc w:val="center"/>
        <w:rPr>
          <w:rFonts w:ascii="宋体" w:hAnsi="宋体"/>
          <w:b/>
          <w:sz w:val="32"/>
          <w:szCs w:val="32"/>
        </w:rPr>
      </w:pPr>
      <w:r>
        <w:rPr>
          <w:rFonts w:hint="eastAsia" w:ascii="宋体" w:hAnsi="宋体"/>
          <w:b/>
          <w:sz w:val="32"/>
          <w:szCs w:val="32"/>
        </w:rPr>
        <w:t>中国建筑装饰协会</w:t>
      </w:r>
    </w:p>
    <w:p>
      <w:pPr>
        <w:spacing w:line="360" w:lineRule="auto"/>
        <w:rPr>
          <w:rFonts w:ascii="宋体"/>
          <w:color w:val="000000"/>
          <w:szCs w:val="24"/>
        </w:rPr>
      </w:pPr>
    </w:p>
    <w:p>
      <w:pPr>
        <w:keepNext/>
        <w:keepLines/>
        <w:spacing w:before="340" w:after="330" w:line="578" w:lineRule="auto"/>
        <w:jc w:val="center"/>
        <w:outlineLvl w:val="0"/>
        <w:rPr>
          <w:b/>
          <w:bCs/>
          <w:kern w:val="44"/>
          <w:sz w:val="32"/>
          <w:szCs w:val="32"/>
        </w:rPr>
      </w:pPr>
      <w:bookmarkStart w:id="0" w:name="_Toc24371147"/>
      <w:bookmarkStart w:id="1" w:name="_Toc351128790"/>
      <w:r>
        <w:rPr>
          <w:rFonts w:hint="eastAsia"/>
          <w:b/>
          <w:bCs/>
          <w:kern w:val="44"/>
          <w:sz w:val="32"/>
          <w:szCs w:val="32"/>
        </w:rPr>
        <w:t>前言</w:t>
      </w:r>
      <w:bookmarkEnd w:id="0"/>
      <w:bookmarkEnd w:id="1"/>
    </w:p>
    <w:p>
      <w:pPr>
        <w:spacing w:line="360" w:lineRule="auto"/>
        <w:ind w:firstLine="405"/>
        <w:jc w:val="left"/>
        <w:rPr>
          <w:rFonts w:ascii="宋体" w:hAnsi="宋体"/>
        </w:rPr>
      </w:pPr>
      <w:r>
        <w:rPr>
          <w:rFonts w:hint="eastAsia" w:ascii="宋体" w:hAnsi="宋体"/>
        </w:rPr>
        <w:t>本体系的附录A为规范性附录。</w:t>
      </w:r>
    </w:p>
    <w:p>
      <w:pPr>
        <w:spacing w:line="360" w:lineRule="auto"/>
        <w:ind w:firstLine="405"/>
        <w:jc w:val="left"/>
        <w:rPr>
          <w:rFonts w:ascii="宋体" w:hAnsi="宋体"/>
        </w:rPr>
      </w:pPr>
      <w:r>
        <w:rPr>
          <w:rFonts w:hint="eastAsia" w:ascii="宋体" w:hAnsi="宋体"/>
        </w:rPr>
        <w:t>本体系由中国建筑装饰协会提出并归口管理。</w:t>
      </w:r>
    </w:p>
    <w:p>
      <w:pPr>
        <w:spacing w:line="360" w:lineRule="auto"/>
        <w:ind w:firstLine="405"/>
        <w:jc w:val="left"/>
        <w:rPr>
          <w:rFonts w:ascii="宋体" w:hAnsi="宋体"/>
        </w:rPr>
      </w:pPr>
      <w:r>
        <w:rPr>
          <w:rFonts w:hint="eastAsia" w:ascii="宋体" w:hAnsi="宋体"/>
        </w:rPr>
        <w:t>本体系主要起草单位：中国建筑装饰协会、北京信构信用管理有限公司。</w:t>
      </w:r>
    </w:p>
    <w:p>
      <w:pPr>
        <w:widowControl/>
        <w:jc w:val="center"/>
        <w:rPr>
          <w:rFonts w:ascii="宋体"/>
          <w:color w:val="000000"/>
          <w:szCs w:val="24"/>
        </w:rPr>
      </w:pPr>
    </w:p>
    <w:p>
      <w:pPr>
        <w:widowControl/>
        <w:jc w:val="center"/>
        <w:rPr>
          <w:rFonts w:ascii="宋体"/>
          <w:color w:val="000000"/>
          <w:szCs w:val="24"/>
        </w:rPr>
      </w:pPr>
    </w:p>
    <w:p>
      <w:pPr>
        <w:keepNext/>
        <w:keepLines/>
        <w:spacing w:before="340" w:after="330" w:line="578" w:lineRule="auto"/>
        <w:jc w:val="center"/>
        <w:outlineLvl w:val="0"/>
        <w:rPr>
          <w:rFonts w:ascii="宋体" w:hAnsi="宋体" w:cs="宋体"/>
          <w:b/>
          <w:bCs/>
          <w:color w:val="000000"/>
          <w:kern w:val="44"/>
          <w:sz w:val="32"/>
          <w:szCs w:val="32"/>
        </w:rPr>
      </w:pPr>
      <w:bookmarkStart w:id="2" w:name="_Toc24371148"/>
      <w:r>
        <w:rPr>
          <w:rFonts w:hint="eastAsia" w:ascii="宋体" w:hAnsi="宋体" w:cs="宋体"/>
          <w:b/>
          <w:bCs/>
          <w:color w:val="000000"/>
          <w:kern w:val="44"/>
          <w:sz w:val="32"/>
          <w:szCs w:val="32"/>
        </w:rPr>
        <w:t>中国建筑装饰行业家装企业信用评价</w:t>
      </w:r>
      <w:bookmarkEnd w:id="2"/>
      <w:r>
        <w:rPr>
          <w:rFonts w:hint="eastAsia" w:ascii="宋体" w:hAnsi="宋体" w:cs="宋体"/>
          <w:b/>
          <w:bCs/>
          <w:color w:val="000000"/>
          <w:kern w:val="44"/>
          <w:sz w:val="32"/>
          <w:szCs w:val="32"/>
        </w:rPr>
        <w:t>体系</w:t>
      </w:r>
    </w:p>
    <w:p>
      <w:pPr>
        <w:keepNext/>
        <w:keepLines/>
        <w:spacing w:before="340" w:after="330" w:line="578" w:lineRule="auto"/>
        <w:jc w:val="left"/>
        <w:outlineLvl w:val="0"/>
        <w:rPr>
          <w:rFonts w:ascii="宋体"/>
          <w:b/>
          <w:bCs/>
          <w:color w:val="000000"/>
          <w:kern w:val="44"/>
          <w:sz w:val="32"/>
          <w:szCs w:val="32"/>
        </w:rPr>
      </w:pPr>
      <w:bookmarkStart w:id="3" w:name="_Toc24371149"/>
      <w:bookmarkStart w:id="4" w:name="_Toc396315853"/>
      <w:bookmarkStart w:id="5" w:name="_Toc210303697"/>
      <w:bookmarkStart w:id="6" w:name="_Toc203292050"/>
      <w:bookmarkStart w:id="7" w:name="_Toc306631757"/>
      <w:bookmarkStart w:id="8" w:name="_Toc209581061"/>
      <w:bookmarkStart w:id="9" w:name="_Toc203292952"/>
      <w:bookmarkStart w:id="10" w:name="_Toc203292886"/>
      <w:bookmarkStart w:id="11" w:name="_Toc307588701"/>
      <w:r>
        <w:rPr>
          <w:rFonts w:ascii="宋体" w:hAnsi="宋体" w:cs="宋体"/>
          <w:b/>
          <w:bCs/>
          <w:color w:val="000000"/>
          <w:kern w:val="44"/>
          <w:sz w:val="32"/>
          <w:szCs w:val="32"/>
        </w:rPr>
        <w:t xml:space="preserve">1 </w:t>
      </w:r>
      <w:r>
        <w:rPr>
          <w:rFonts w:hint="eastAsia" w:ascii="宋体" w:hAnsi="宋体" w:cs="宋体"/>
          <w:b/>
          <w:bCs/>
          <w:color w:val="000000"/>
          <w:kern w:val="44"/>
          <w:sz w:val="32"/>
          <w:szCs w:val="32"/>
        </w:rPr>
        <w:t>应用范围</w:t>
      </w:r>
      <w:bookmarkEnd w:id="3"/>
      <w:bookmarkEnd w:id="4"/>
      <w:bookmarkEnd w:id="5"/>
      <w:bookmarkEnd w:id="6"/>
      <w:bookmarkEnd w:id="7"/>
      <w:bookmarkEnd w:id="8"/>
      <w:bookmarkEnd w:id="9"/>
      <w:bookmarkEnd w:id="10"/>
      <w:bookmarkEnd w:id="11"/>
    </w:p>
    <w:p>
      <w:pPr>
        <w:widowControl/>
        <w:autoSpaceDE w:val="0"/>
        <w:autoSpaceDN w:val="0"/>
        <w:spacing w:line="360" w:lineRule="auto"/>
        <w:ind w:firstLine="424" w:firstLineChars="202"/>
        <w:rPr>
          <w:rFonts w:ascii="宋体"/>
          <w:color w:val="000000"/>
          <w:kern w:val="0"/>
          <w:szCs w:val="24"/>
        </w:rPr>
      </w:pPr>
      <w:r>
        <w:rPr>
          <w:rFonts w:hint="eastAsia" w:ascii="宋体" w:hAnsi="宋体" w:cs="宋体"/>
          <w:color w:val="000000"/>
          <w:kern w:val="0"/>
          <w:szCs w:val="24"/>
        </w:rPr>
        <w:t>本体系规定了中国建筑装饰行业家装企业信用评价的方法和内容、信用等级及各等级的含义、信用评价流程、信用评价报告的撰写要求、信用评价指标体系及其权重分配规则以及信息的归集、建档及保密等。</w:t>
      </w:r>
    </w:p>
    <w:p>
      <w:pPr>
        <w:widowControl/>
        <w:autoSpaceDE w:val="0"/>
        <w:autoSpaceDN w:val="0"/>
        <w:spacing w:line="360" w:lineRule="auto"/>
        <w:ind w:firstLine="424" w:firstLineChars="202"/>
        <w:rPr>
          <w:rFonts w:ascii="宋体" w:hAnsi="宋体" w:cs="宋体"/>
          <w:color w:val="000000"/>
          <w:kern w:val="0"/>
          <w:szCs w:val="24"/>
        </w:rPr>
      </w:pPr>
      <w:r>
        <w:rPr>
          <w:rFonts w:hint="eastAsia" w:ascii="宋体" w:hAnsi="宋体" w:cs="宋体"/>
          <w:color w:val="000000"/>
          <w:kern w:val="0"/>
          <w:szCs w:val="24"/>
        </w:rPr>
        <w:t>本体系适用于信用评价机构对建筑装饰行业家装企业主体开展的信用评价活动。</w:t>
      </w:r>
    </w:p>
    <w:p>
      <w:pPr>
        <w:widowControl/>
        <w:autoSpaceDE w:val="0"/>
        <w:autoSpaceDN w:val="0"/>
        <w:spacing w:line="360" w:lineRule="auto"/>
        <w:ind w:firstLine="424" w:firstLineChars="202"/>
        <w:rPr>
          <w:rFonts w:ascii="宋体"/>
          <w:color w:val="000000"/>
          <w:kern w:val="0"/>
          <w:szCs w:val="24"/>
        </w:rPr>
      </w:pPr>
      <w:r>
        <w:rPr>
          <w:rFonts w:hint="eastAsia" w:ascii="宋体" w:hAnsi="宋体" w:cs="宋体"/>
          <w:color w:val="000000"/>
          <w:kern w:val="0"/>
          <w:szCs w:val="24"/>
        </w:rPr>
        <w:t>本体系定义的受评主体指为满足终端个体消费者对家庭居住环境装修需求而进行集室内设计、材料供给、工程施工于一体的专业化家装公司。</w:t>
      </w:r>
      <w:bookmarkStart w:id="12" w:name="_Toc396315854"/>
      <w:bookmarkStart w:id="13" w:name="_Toc209581062"/>
      <w:bookmarkStart w:id="14" w:name="_Toc210303698"/>
      <w:bookmarkStart w:id="15" w:name="_Toc203292887"/>
      <w:bookmarkStart w:id="16" w:name="_Toc306631758"/>
      <w:bookmarkStart w:id="17" w:name="_Toc307588702"/>
      <w:bookmarkStart w:id="18" w:name="_Toc203292953"/>
      <w:bookmarkStart w:id="19" w:name="_Toc203292052"/>
    </w:p>
    <w:p>
      <w:pPr>
        <w:keepNext/>
        <w:keepLines/>
        <w:spacing w:before="340" w:after="330" w:line="578" w:lineRule="auto"/>
        <w:jc w:val="left"/>
        <w:outlineLvl w:val="0"/>
        <w:rPr>
          <w:rFonts w:ascii="宋体"/>
          <w:b/>
          <w:bCs/>
          <w:color w:val="000000"/>
          <w:kern w:val="44"/>
          <w:sz w:val="32"/>
          <w:szCs w:val="32"/>
        </w:rPr>
      </w:pPr>
      <w:bookmarkStart w:id="20" w:name="_Toc24371150"/>
      <w:r>
        <w:rPr>
          <w:rFonts w:ascii="宋体" w:hAnsi="宋体" w:cs="宋体"/>
          <w:b/>
          <w:bCs/>
          <w:color w:val="000000"/>
          <w:kern w:val="44"/>
          <w:sz w:val="32"/>
          <w:szCs w:val="32"/>
        </w:rPr>
        <w:t xml:space="preserve">2 </w:t>
      </w:r>
      <w:r>
        <w:rPr>
          <w:rFonts w:hint="eastAsia" w:ascii="宋体" w:hAnsi="宋体" w:cs="宋体"/>
          <w:b/>
          <w:bCs/>
          <w:color w:val="000000"/>
          <w:kern w:val="44"/>
          <w:sz w:val="32"/>
          <w:szCs w:val="32"/>
        </w:rPr>
        <w:t>规范性引用文件</w:t>
      </w:r>
      <w:bookmarkEnd w:id="12"/>
      <w:bookmarkEnd w:id="13"/>
      <w:bookmarkEnd w:id="14"/>
      <w:bookmarkEnd w:id="15"/>
      <w:bookmarkEnd w:id="16"/>
      <w:bookmarkEnd w:id="17"/>
      <w:bookmarkEnd w:id="18"/>
      <w:bookmarkEnd w:id="20"/>
    </w:p>
    <w:p>
      <w:pPr>
        <w:widowControl/>
        <w:autoSpaceDE w:val="0"/>
        <w:autoSpaceDN w:val="0"/>
        <w:spacing w:line="360" w:lineRule="auto"/>
        <w:ind w:firstLine="424" w:firstLineChars="202"/>
        <w:rPr>
          <w:rFonts w:ascii="宋体" w:hAnsi="宋体"/>
          <w:color w:val="000000"/>
          <w:kern w:val="0"/>
        </w:rPr>
      </w:pPr>
      <w:r>
        <w:rPr>
          <w:rFonts w:hint="eastAsia" w:ascii="宋体" w:hAnsi="宋体" w:cs="宋体"/>
          <w:color w:val="000000"/>
          <w:kern w:val="0"/>
        </w:rPr>
        <w:t>下列文件中的条款通过本体系的引用而成为本体系的条款。凡是注日期的引用文件，其随后所有的修改单（不包括勘误的内容）或修订版均不适用于本体系。然而，鼓励根据本体系达成协议的各方研究是否可使用这些文件的最新版本。凡是不注日期的引用文件，其最新版本适用于本体系。</w:t>
      </w:r>
    </w:p>
    <w:bookmarkEnd w:id="19"/>
    <w:p>
      <w:pPr>
        <w:spacing w:line="360" w:lineRule="auto"/>
        <w:ind w:firstLine="525" w:firstLineChars="250"/>
        <w:rPr>
          <w:rFonts w:ascii="宋体"/>
          <w:color w:val="000000"/>
          <w:szCs w:val="24"/>
        </w:rPr>
      </w:pPr>
      <w:bookmarkStart w:id="21" w:name="_Toc306631759"/>
      <w:bookmarkStart w:id="22" w:name="_Toc203292954"/>
      <w:bookmarkStart w:id="23" w:name="_Toc307588703"/>
      <w:bookmarkStart w:id="24" w:name="_Toc209581063"/>
      <w:bookmarkStart w:id="25" w:name="_Toc396315855"/>
      <w:bookmarkStart w:id="26" w:name="_Toc210303699"/>
      <w:bookmarkStart w:id="27" w:name="_Toc203292888"/>
      <w:bookmarkStart w:id="28" w:name="_Toc203292053"/>
      <w:r>
        <w:rPr>
          <w:rFonts w:ascii="宋体" w:hAnsi="宋体" w:cs="宋体"/>
          <w:color w:val="000000"/>
          <w:szCs w:val="24"/>
        </w:rPr>
        <w:t xml:space="preserve">GB/T 22117—2008  </w:t>
      </w:r>
      <w:r>
        <w:rPr>
          <w:rFonts w:hint="eastAsia" w:ascii="宋体" w:hAnsi="宋体" w:cs="宋体"/>
          <w:color w:val="000000"/>
          <w:szCs w:val="24"/>
        </w:rPr>
        <w:t>信用</w:t>
      </w:r>
      <w:r>
        <w:rPr>
          <w:rFonts w:ascii="宋体" w:hAnsi="宋体" w:cs="宋体"/>
          <w:color w:val="000000"/>
          <w:szCs w:val="24"/>
        </w:rPr>
        <w:t xml:space="preserve">  </w:t>
      </w:r>
      <w:r>
        <w:rPr>
          <w:rFonts w:hint="eastAsia" w:ascii="宋体" w:hAnsi="宋体" w:cs="宋体"/>
          <w:color w:val="000000"/>
          <w:szCs w:val="24"/>
        </w:rPr>
        <w:t>基本术语</w:t>
      </w:r>
    </w:p>
    <w:p>
      <w:pPr>
        <w:spacing w:line="360" w:lineRule="auto"/>
        <w:ind w:firstLine="525" w:firstLineChars="250"/>
        <w:rPr>
          <w:rFonts w:ascii="宋体" w:hAnsi="宋体" w:cs="宋体"/>
          <w:color w:val="000000"/>
          <w:szCs w:val="24"/>
        </w:rPr>
      </w:pPr>
      <w:r>
        <w:rPr>
          <w:rFonts w:ascii="宋体" w:hAnsi="宋体" w:cs="宋体"/>
          <w:color w:val="000000"/>
          <w:szCs w:val="24"/>
        </w:rPr>
        <w:t xml:space="preserve">GB/T 22116—2008  </w:t>
      </w:r>
      <w:r>
        <w:rPr>
          <w:rFonts w:hint="eastAsia" w:ascii="宋体" w:hAnsi="宋体" w:cs="宋体"/>
          <w:color w:val="000000"/>
          <w:szCs w:val="24"/>
        </w:rPr>
        <w:t>企业信用等级表示方法</w:t>
      </w:r>
    </w:p>
    <w:p>
      <w:pPr>
        <w:spacing w:line="360" w:lineRule="auto"/>
        <w:ind w:firstLine="525" w:firstLineChars="250"/>
        <w:rPr>
          <w:rFonts w:ascii="宋体" w:hAnsi="宋体" w:cs="宋体"/>
          <w:color w:val="000000"/>
          <w:szCs w:val="24"/>
        </w:rPr>
      </w:pPr>
      <w:r>
        <w:rPr>
          <w:rFonts w:ascii="宋体" w:hAnsi="宋体" w:cs="宋体"/>
          <w:color w:val="000000"/>
          <w:szCs w:val="24"/>
        </w:rPr>
        <w:t xml:space="preserve">GB/T </w:t>
      </w:r>
      <w:r>
        <w:rPr>
          <w:rFonts w:hint="eastAsia" w:ascii="宋体" w:hAnsi="宋体" w:cs="宋体"/>
          <w:color w:val="000000"/>
          <w:szCs w:val="24"/>
        </w:rPr>
        <w:t>23793</w:t>
      </w:r>
      <w:r>
        <w:rPr>
          <w:rFonts w:ascii="宋体" w:hAnsi="宋体" w:cs="宋体"/>
          <w:color w:val="000000"/>
          <w:szCs w:val="24"/>
        </w:rPr>
        <w:t>—</w:t>
      </w:r>
      <w:r>
        <w:rPr>
          <w:rFonts w:hint="eastAsia" w:ascii="宋体" w:hAnsi="宋体" w:cs="宋体"/>
          <w:color w:val="000000"/>
          <w:szCs w:val="24"/>
        </w:rPr>
        <w:t>2009  合格供应商信用评价规范</w:t>
      </w:r>
    </w:p>
    <w:p>
      <w:pPr>
        <w:spacing w:line="360" w:lineRule="auto"/>
        <w:ind w:firstLine="525" w:firstLineChars="250"/>
        <w:rPr>
          <w:rFonts w:ascii="宋体" w:hAnsi="宋体" w:cs="宋体"/>
          <w:color w:val="000000"/>
          <w:szCs w:val="24"/>
        </w:rPr>
      </w:pPr>
      <w:r>
        <w:rPr>
          <w:rFonts w:ascii="宋体" w:hAnsi="宋体" w:cs="宋体"/>
          <w:color w:val="000000"/>
          <w:szCs w:val="24"/>
        </w:rPr>
        <w:t>GB/T 26819—2011</w:t>
      </w:r>
      <w:r>
        <w:rPr>
          <w:rFonts w:hint="eastAsia" w:ascii="宋体" w:hAnsi="宋体" w:cs="宋体"/>
          <w:color w:val="000000"/>
          <w:szCs w:val="24"/>
        </w:rPr>
        <w:t xml:space="preserve"> </w:t>
      </w:r>
      <w:r>
        <w:rPr>
          <w:rFonts w:ascii="宋体" w:hAnsi="宋体" w:cs="宋体"/>
          <w:color w:val="000000"/>
          <w:szCs w:val="24"/>
        </w:rPr>
        <w:t xml:space="preserve"> </w:t>
      </w:r>
      <w:r>
        <w:rPr>
          <w:rFonts w:hint="eastAsia" w:ascii="宋体" w:hAnsi="宋体" w:cs="宋体"/>
          <w:color w:val="000000"/>
          <w:szCs w:val="24"/>
        </w:rPr>
        <w:t>企业信用主体标示规范</w:t>
      </w:r>
    </w:p>
    <w:p>
      <w:pPr>
        <w:keepNext/>
        <w:keepLines/>
        <w:spacing w:before="340" w:after="330" w:line="578" w:lineRule="auto"/>
        <w:jc w:val="left"/>
        <w:outlineLvl w:val="0"/>
        <w:rPr>
          <w:rFonts w:ascii="宋体"/>
          <w:b/>
          <w:bCs/>
          <w:color w:val="000000"/>
          <w:kern w:val="44"/>
          <w:sz w:val="32"/>
          <w:szCs w:val="32"/>
        </w:rPr>
      </w:pPr>
      <w:bookmarkStart w:id="29" w:name="_Toc24371151"/>
      <w:r>
        <w:rPr>
          <w:rFonts w:ascii="宋体" w:hAnsi="宋体" w:cs="宋体"/>
          <w:b/>
          <w:bCs/>
          <w:color w:val="000000"/>
          <w:kern w:val="44"/>
          <w:sz w:val="32"/>
          <w:szCs w:val="32"/>
        </w:rPr>
        <w:t xml:space="preserve">3 </w:t>
      </w:r>
      <w:bookmarkEnd w:id="21"/>
      <w:bookmarkEnd w:id="22"/>
      <w:bookmarkEnd w:id="23"/>
      <w:bookmarkEnd w:id="24"/>
      <w:bookmarkEnd w:id="25"/>
      <w:bookmarkEnd w:id="26"/>
      <w:bookmarkEnd w:id="27"/>
      <w:bookmarkEnd w:id="28"/>
      <w:r>
        <w:rPr>
          <w:rFonts w:hint="eastAsia" w:ascii="宋体" w:hAnsi="宋体" w:cs="宋体"/>
          <w:b/>
          <w:bCs/>
          <w:color w:val="000000"/>
          <w:kern w:val="44"/>
          <w:sz w:val="32"/>
          <w:szCs w:val="32"/>
        </w:rPr>
        <w:t>建筑装饰行业家装企业信用评价内容</w:t>
      </w:r>
      <w:bookmarkEnd w:id="29"/>
    </w:p>
    <w:p>
      <w:pPr>
        <w:spacing w:line="360" w:lineRule="auto"/>
        <w:ind w:right="-334" w:rightChars="-159" w:firstLine="482"/>
        <w:rPr>
          <w:rFonts w:ascii="Arial" w:hAnsi="Arial" w:cs="Arial"/>
          <w:kern w:val="0"/>
        </w:rPr>
      </w:pPr>
      <w:bookmarkStart w:id="30" w:name="_Toc396315856"/>
      <w:r>
        <w:rPr>
          <w:rFonts w:hint="eastAsia"/>
          <w:szCs w:val="24"/>
        </w:rPr>
        <w:t xml:space="preserve">---  </w:t>
      </w:r>
      <w:r>
        <w:rPr>
          <w:rFonts w:hint="eastAsia" w:ascii="Arial" w:hAnsi="Arial" w:cs="Arial"/>
          <w:kern w:val="0"/>
        </w:rPr>
        <w:t>企业基本素质；</w:t>
      </w:r>
    </w:p>
    <w:p>
      <w:pPr>
        <w:spacing w:line="360" w:lineRule="auto"/>
        <w:ind w:right="-334" w:rightChars="-159" w:firstLine="482"/>
        <w:rPr>
          <w:rFonts w:ascii="Arial" w:hAnsi="Arial" w:cs="Arial"/>
          <w:kern w:val="0"/>
        </w:rPr>
      </w:pPr>
      <w:r>
        <w:rPr>
          <w:rFonts w:hint="eastAsia" w:ascii="Arial" w:hAnsi="Arial" w:cs="Arial"/>
          <w:kern w:val="0"/>
        </w:rPr>
        <w:t>---  经营管理水平；</w:t>
      </w:r>
    </w:p>
    <w:p>
      <w:pPr>
        <w:spacing w:line="360" w:lineRule="auto"/>
        <w:ind w:right="-334" w:rightChars="-159" w:firstLine="482"/>
        <w:rPr>
          <w:rFonts w:ascii="Arial" w:hAnsi="Arial" w:cs="Arial"/>
          <w:kern w:val="0"/>
        </w:rPr>
      </w:pPr>
      <w:r>
        <w:rPr>
          <w:rFonts w:hint="eastAsia" w:ascii="Arial" w:hAnsi="Arial" w:cs="Arial"/>
          <w:kern w:val="0"/>
        </w:rPr>
        <w:t>---  企业财务实力；</w:t>
      </w:r>
    </w:p>
    <w:p>
      <w:pPr>
        <w:spacing w:line="360" w:lineRule="auto"/>
        <w:ind w:right="-334" w:rightChars="-159" w:firstLine="482"/>
        <w:rPr>
          <w:szCs w:val="24"/>
        </w:rPr>
      </w:pPr>
      <w:r>
        <w:rPr>
          <w:rFonts w:hint="eastAsia" w:ascii="Arial" w:hAnsi="Arial" w:cs="Arial"/>
          <w:kern w:val="0"/>
        </w:rPr>
        <w:t>---- 公共信用记录等。</w:t>
      </w:r>
      <w:r>
        <w:rPr>
          <w:rFonts w:hint="eastAsia"/>
          <w:szCs w:val="24"/>
        </w:rPr>
        <w:t xml:space="preserve">    </w:t>
      </w:r>
    </w:p>
    <w:p>
      <w:pPr>
        <w:keepNext/>
        <w:keepLines/>
        <w:spacing w:before="340" w:after="330" w:line="578" w:lineRule="auto"/>
        <w:jc w:val="left"/>
        <w:outlineLvl w:val="0"/>
        <w:rPr>
          <w:rFonts w:ascii="宋体"/>
          <w:b/>
          <w:bCs/>
          <w:color w:val="000000"/>
          <w:kern w:val="44"/>
          <w:sz w:val="32"/>
          <w:szCs w:val="32"/>
        </w:rPr>
      </w:pPr>
      <w:bookmarkStart w:id="31" w:name="_Toc24371152"/>
      <w:r>
        <w:rPr>
          <w:rFonts w:ascii="宋体" w:hAnsi="宋体" w:cs="宋体"/>
          <w:b/>
          <w:bCs/>
          <w:color w:val="000000"/>
          <w:kern w:val="44"/>
          <w:sz w:val="32"/>
          <w:szCs w:val="32"/>
        </w:rPr>
        <w:t xml:space="preserve">4 </w:t>
      </w:r>
      <w:bookmarkEnd w:id="30"/>
      <w:r>
        <w:rPr>
          <w:rFonts w:hint="eastAsia" w:ascii="宋体" w:hAnsi="宋体" w:cs="宋体"/>
          <w:b/>
          <w:bCs/>
          <w:color w:val="000000"/>
          <w:kern w:val="44"/>
          <w:sz w:val="32"/>
          <w:szCs w:val="32"/>
        </w:rPr>
        <w:t>信用等级及表示方法</w:t>
      </w:r>
      <w:bookmarkEnd w:id="31"/>
    </w:p>
    <w:p>
      <w:pPr>
        <w:spacing w:line="360" w:lineRule="auto"/>
        <w:ind w:firstLine="424" w:firstLineChars="202"/>
        <w:jc w:val="left"/>
        <w:rPr>
          <w:rFonts w:ascii="宋体"/>
          <w:color w:val="000000"/>
          <w:kern w:val="0"/>
          <w:szCs w:val="24"/>
        </w:rPr>
      </w:pPr>
      <w:r>
        <w:rPr>
          <w:rFonts w:hint="eastAsia" w:ascii="宋体" w:hAnsi="宋体" w:cs="宋体"/>
          <w:color w:val="000000"/>
          <w:kern w:val="0"/>
          <w:szCs w:val="24"/>
        </w:rPr>
        <w:t>中国建筑装饰行业家装企业信用等级分为四级，依次用</w:t>
      </w:r>
      <w:bookmarkStart w:id="32" w:name="_Hlk23953946"/>
      <w:r>
        <w:rPr>
          <w:rFonts w:hint="eastAsia" w:ascii="宋体" w:hAnsi="宋体" w:cs="宋体"/>
          <w:color w:val="000000"/>
          <w:kern w:val="0"/>
          <w:szCs w:val="24"/>
        </w:rPr>
        <w:t>五星</w:t>
      </w:r>
      <w:bookmarkEnd w:id="32"/>
      <w:r>
        <w:rPr>
          <w:rFonts w:hint="eastAsia" w:ascii="宋体" w:hAnsi="宋体" w:cs="宋体"/>
          <w:color w:val="000000"/>
          <w:kern w:val="0"/>
          <w:szCs w:val="24"/>
        </w:rPr>
        <w:t>、</w:t>
      </w:r>
      <w:bookmarkStart w:id="33" w:name="_Hlk23953959"/>
      <w:r>
        <w:rPr>
          <w:rFonts w:hint="eastAsia" w:ascii="宋体" w:hAnsi="宋体" w:cs="宋体"/>
          <w:color w:val="000000"/>
          <w:kern w:val="0"/>
          <w:szCs w:val="24"/>
        </w:rPr>
        <w:t>四星</w:t>
      </w:r>
      <w:bookmarkEnd w:id="33"/>
      <w:r>
        <w:rPr>
          <w:rFonts w:hint="eastAsia" w:ascii="宋体" w:hAnsi="宋体" w:cs="宋体"/>
          <w:color w:val="000000"/>
          <w:kern w:val="0"/>
          <w:szCs w:val="24"/>
        </w:rPr>
        <w:t>、</w:t>
      </w:r>
      <w:bookmarkStart w:id="34" w:name="_Hlk23953966"/>
      <w:r>
        <w:rPr>
          <w:rFonts w:hint="eastAsia" w:ascii="宋体" w:hAnsi="宋体" w:cs="宋体"/>
          <w:color w:val="000000"/>
          <w:kern w:val="0"/>
          <w:szCs w:val="24"/>
        </w:rPr>
        <w:t>三星</w:t>
      </w:r>
      <w:bookmarkEnd w:id="34"/>
      <w:r>
        <w:rPr>
          <w:rFonts w:hint="eastAsia" w:ascii="宋体" w:hAnsi="宋体" w:cs="宋体"/>
          <w:color w:val="000000"/>
          <w:kern w:val="0"/>
          <w:szCs w:val="24"/>
        </w:rPr>
        <w:t>、</w:t>
      </w:r>
      <w:bookmarkStart w:id="35" w:name="_Hlk23953973"/>
      <w:r>
        <w:rPr>
          <w:rFonts w:hint="eastAsia" w:ascii="宋体" w:hAnsi="宋体" w:cs="宋体"/>
          <w:color w:val="000000"/>
          <w:kern w:val="0"/>
          <w:szCs w:val="24"/>
        </w:rPr>
        <w:t>两星</w:t>
      </w:r>
      <w:bookmarkEnd w:id="35"/>
      <w:r>
        <w:rPr>
          <w:rFonts w:hint="eastAsia" w:ascii="宋体" w:hAnsi="宋体" w:cs="宋体"/>
          <w:color w:val="000000"/>
          <w:kern w:val="0"/>
          <w:szCs w:val="24"/>
        </w:rPr>
        <w:t>表示，不具备评价条件或评价结果在两星以下的主体信用等级以NR表示。</w:t>
      </w:r>
    </w:p>
    <w:p>
      <w:pPr>
        <w:widowControl/>
        <w:spacing w:line="360" w:lineRule="auto"/>
        <w:ind w:firstLine="420" w:firstLineChars="200"/>
        <w:jc w:val="left"/>
        <w:rPr>
          <w:rFonts w:ascii="宋体"/>
          <w:color w:val="000000"/>
          <w:kern w:val="0"/>
          <w:szCs w:val="24"/>
        </w:rPr>
      </w:pPr>
      <w:r>
        <w:rPr>
          <w:rFonts w:hint="eastAsia" w:ascii="宋体" w:hAnsi="宋体" w:cs="宋体"/>
          <w:color w:val="000000"/>
          <w:kern w:val="0"/>
          <w:szCs w:val="24"/>
        </w:rPr>
        <w:t>五星：受评主体经营的稳定性极强，对履行相关经济和社会责任能够提供极强的安全保障，尽管环境因素可能会发生变化，但这些变化对受评主体的影响不会从根本上损害其相当稳定的发展趋势，违约风险极低。</w:t>
      </w:r>
    </w:p>
    <w:p>
      <w:pPr>
        <w:widowControl/>
        <w:spacing w:line="360" w:lineRule="auto"/>
        <w:ind w:firstLine="420" w:firstLineChars="200"/>
        <w:jc w:val="left"/>
        <w:rPr>
          <w:rFonts w:ascii="宋体"/>
          <w:color w:val="000000"/>
          <w:kern w:val="0"/>
          <w:szCs w:val="24"/>
        </w:rPr>
      </w:pPr>
      <w:r>
        <w:rPr>
          <w:rFonts w:hint="eastAsia" w:ascii="宋体" w:hAnsi="宋体" w:cs="宋体"/>
          <w:color w:val="000000"/>
          <w:kern w:val="0"/>
          <w:szCs w:val="24"/>
        </w:rPr>
        <w:t>四星：受评主体经营的稳定性很强，对履行相关经济和社会责任能够提供很好的安全保障，环境因素发生不利变化时其稳定性可能会受到影响，但违约风险很低。</w:t>
      </w:r>
    </w:p>
    <w:p>
      <w:pPr>
        <w:widowControl/>
        <w:spacing w:line="360" w:lineRule="auto"/>
        <w:ind w:firstLine="420" w:firstLineChars="200"/>
        <w:jc w:val="left"/>
        <w:rPr>
          <w:rFonts w:ascii="宋体"/>
          <w:color w:val="000000"/>
          <w:kern w:val="0"/>
          <w:szCs w:val="24"/>
        </w:rPr>
      </w:pPr>
      <w:r>
        <w:rPr>
          <w:rFonts w:hint="eastAsia" w:ascii="宋体" w:hAnsi="宋体" w:cs="宋体"/>
          <w:color w:val="000000"/>
          <w:kern w:val="0"/>
          <w:szCs w:val="24"/>
        </w:rPr>
        <w:t>三星：受评主体经营的稳定性较强，对履行相关经济和社会责任能够提供较好的安全保障，对于抵御环境发生不利变化时的能力较弱，但违约风险较低。</w:t>
      </w:r>
    </w:p>
    <w:p>
      <w:pPr>
        <w:widowControl/>
        <w:spacing w:line="360" w:lineRule="auto"/>
        <w:ind w:firstLine="420" w:firstLineChars="200"/>
        <w:jc w:val="left"/>
        <w:rPr>
          <w:rFonts w:ascii="宋体"/>
          <w:color w:val="000000"/>
          <w:kern w:val="0"/>
          <w:szCs w:val="24"/>
        </w:rPr>
      </w:pPr>
      <w:r>
        <w:rPr>
          <w:rFonts w:hint="eastAsia" w:ascii="宋体" w:hAnsi="宋体" w:cs="宋体"/>
          <w:color w:val="000000"/>
          <w:kern w:val="0"/>
          <w:szCs w:val="24"/>
        </w:rPr>
        <w:t>两星：在正常条件下，受评主体在履行相关经济和社会责任时可以提供充足的安全保障，但发生不利经营环境时，存在或有违约风险。</w:t>
      </w:r>
    </w:p>
    <w:p>
      <w:pPr>
        <w:keepNext/>
        <w:keepLines/>
        <w:spacing w:before="340" w:after="330" w:line="578" w:lineRule="auto"/>
        <w:jc w:val="left"/>
        <w:outlineLvl w:val="0"/>
        <w:rPr>
          <w:rFonts w:ascii="宋体"/>
          <w:b/>
          <w:bCs/>
          <w:color w:val="000000"/>
          <w:kern w:val="44"/>
          <w:sz w:val="32"/>
          <w:szCs w:val="32"/>
        </w:rPr>
      </w:pPr>
      <w:bookmarkStart w:id="36" w:name="_Toc396315861"/>
      <w:bookmarkStart w:id="37" w:name="_Toc24371153"/>
      <w:r>
        <w:rPr>
          <w:rFonts w:ascii="宋体" w:hAnsi="宋体" w:cs="宋体"/>
          <w:b/>
          <w:bCs/>
          <w:color w:val="000000"/>
          <w:kern w:val="44"/>
          <w:sz w:val="32"/>
          <w:szCs w:val="32"/>
        </w:rPr>
        <w:t xml:space="preserve">5 </w:t>
      </w:r>
      <w:r>
        <w:rPr>
          <w:rFonts w:hint="eastAsia" w:ascii="宋体" w:hAnsi="宋体" w:cs="宋体"/>
          <w:b/>
          <w:bCs/>
          <w:color w:val="000000"/>
          <w:kern w:val="44"/>
          <w:sz w:val="32"/>
          <w:szCs w:val="32"/>
        </w:rPr>
        <w:t>信用评价方法</w:t>
      </w:r>
      <w:bookmarkEnd w:id="36"/>
      <w:r>
        <w:rPr>
          <w:rFonts w:hint="eastAsia" w:ascii="宋体" w:hAnsi="宋体" w:cs="宋体"/>
          <w:b/>
          <w:bCs/>
          <w:color w:val="000000"/>
          <w:kern w:val="44"/>
          <w:sz w:val="32"/>
          <w:szCs w:val="32"/>
        </w:rPr>
        <w:t>与指标体系</w:t>
      </w:r>
      <w:bookmarkEnd w:id="37"/>
    </w:p>
    <w:p>
      <w:pPr>
        <w:spacing w:line="360" w:lineRule="auto"/>
        <w:jc w:val="left"/>
        <w:rPr>
          <w:rFonts w:ascii="宋体"/>
          <w:b/>
          <w:bCs/>
          <w:color w:val="000000"/>
          <w:szCs w:val="24"/>
        </w:rPr>
      </w:pPr>
      <w:bookmarkStart w:id="38" w:name="_Toc310000285"/>
      <w:bookmarkStart w:id="39" w:name="_Toc351128797"/>
      <w:r>
        <w:rPr>
          <w:rFonts w:ascii="宋体" w:hAnsi="宋体" w:cs="宋体"/>
          <w:b/>
          <w:bCs/>
          <w:color w:val="000000"/>
          <w:szCs w:val="24"/>
        </w:rPr>
        <w:t xml:space="preserve">5.1 </w:t>
      </w:r>
      <w:r>
        <w:rPr>
          <w:rFonts w:hint="eastAsia" w:ascii="宋体" w:hAnsi="宋体" w:cs="宋体"/>
          <w:b/>
          <w:bCs/>
          <w:color w:val="000000"/>
          <w:szCs w:val="24"/>
        </w:rPr>
        <w:t>指导思想</w:t>
      </w:r>
      <w:bookmarkEnd w:id="38"/>
      <w:bookmarkEnd w:id="39"/>
    </w:p>
    <w:p>
      <w:pPr>
        <w:widowControl/>
        <w:spacing w:line="360" w:lineRule="auto"/>
        <w:ind w:firstLine="420" w:firstLineChars="200"/>
        <w:jc w:val="left"/>
        <w:rPr>
          <w:rFonts w:ascii="宋体"/>
          <w:color w:val="000000"/>
          <w:szCs w:val="24"/>
        </w:rPr>
      </w:pPr>
      <w:r>
        <w:rPr>
          <w:rFonts w:hint="eastAsia" w:ascii="宋体" w:hAnsi="宋体" w:cs="宋体"/>
          <w:color w:val="000000"/>
          <w:szCs w:val="24"/>
        </w:rPr>
        <w:t>中国建筑装饰行业家装企业信用评价方法构建的指导思想是：</w:t>
      </w:r>
    </w:p>
    <w:p>
      <w:pPr>
        <w:widowControl/>
        <w:tabs>
          <w:tab w:val="left" w:pos="1134"/>
        </w:tabs>
        <w:spacing w:line="360" w:lineRule="auto"/>
        <w:ind w:firstLine="420"/>
        <w:jc w:val="left"/>
        <w:rPr>
          <w:rFonts w:ascii="宋体"/>
          <w:color w:val="000000"/>
        </w:rPr>
      </w:pPr>
      <w:r>
        <w:rPr>
          <w:rFonts w:hint="eastAsia" w:ascii="宋体" w:hAnsi="宋体" w:cs="宋体"/>
          <w:color w:val="000000"/>
        </w:rPr>
        <w:t>（1）遵循国际信用评价市场普遍接受的信用评价的价值观、理念及指标框架的原则；</w:t>
      </w:r>
    </w:p>
    <w:p>
      <w:pPr>
        <w:widowControl/>
        <w:tabs>
          <w:tab w:val="left" w:pos="1134"/>
        </w:tabs>
        <w:spacing w:line="360" w:lineRule="auto"/>
        <w:ind w:firstLine="420"/>
        <w:jc w:val="left"/>
        <w:rPr>
          <w:rFonts w:ascii="宋体"/>
          <w:color w:val="000000"/>
        </w:rPr>
      </w:pPr>
      <w:r>
        <w:rPr>
          <w:rFonts w:hint="eastAsia" w:ascii="宋体" w:hAnsi="宋体" w:cs="宋体"/>
          <w:color w:val="000000"/>
        </w:rPr>
        <w:t>（</w:t>
      </w:r>
      <w:r>
        <w:rPr>
          <w:rFonts w:ascii="宋体" w:hAnsi="宋体" w:cs="宋体"/>
          <w:color w:val="000000"/>
        </w:rPr>
        <w:t>2</w:t>
      </w:r>
      <w:r>
        <w:rPr>
          <w:rFonts w:hint="eastAsia" w:ascii="宋体" w:hAnsi="宋体" w:cs="宋体"/>
          <w:color w:val="000000"/>
        </w:rPr>
        <w:t>）坚持定性分析与定量分析相结合的方法论；</w:t>
      </w:r>
    </w:p>
    <w:p>
      <w:pPr>
        <w:widowControl/>
        <w:tabs>
          <w:tab w:val="left" w:pos="1134"/>
        </w:tabs>
        <w:spacing w:line="360" w:lineRule="auto"/>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3</w:t>
      </w:r>
      <w:r>
        <w:rPr>
          <w:rFonts w:hint="eastAsia" w:ascii="宋体" w:hAnsi="宋体" w:cs="宋体"/>
          <w:color w:val="000000"/>
        </w:rPr>
        <w:t>）充分考虑中国现行法律、政策环境、标准的兼容性和一致性以及信用评价过程中信用数据的质量与可获取性、评价过程的可操作性原则；</w:t>
      </w:r>
    </w:p>
    <w:p>
      <w:pPr>
        <w:widowControl/>
        <w:tabs>
          <w:tab w:val="left" w:pos="1134"/>
        </w:tabs>
        <w:spacing w:line="360" w:lineRule="auto"/>
        <w:ind w:firstLine="420" w:firstLineChars="200"/>
        <w:jc w:val="left"/>
        <w:rPr>
          <w:rFonts w:ascii="宋体"/>
          <w:color w:val="000000"/>
        </w:rPr>
      </w:pPr>
      <w:r>
        <w:rPr>
          <w:rFonts w:hint="eastAsia" w:ascii="宋体" w:hAnsi="宋体" w:cs="宋体"/>
          <w:color w:val="000000"/>
        </w:rPr>
        <w:t>（</w:t>
      </w:r>
      <w:r>
        <w:rPr>
          <w:rFonts w:ascii="宋体" w:hAnsi="宋体" w:cs="宋体"/>
          <w:color w:val="000000"/>
        </w:rPr>
        <w:t>4</w:t>
      </w:r>
      <w:r>
        <w:rPr>
          <w:rFonts w:hint="eastAsia" w:ascii="宋体" w:hAnsi="宋体" w:cs="宋体"/>
          <w:color w:val="000000"/>
        </w:rPr>
        <w:t>）充分尊重中国法律和监管机构对家装类企业资质、考核、认证以及市场准入等司法与行政管理方面的规定等。</w:t>
      </w:r>
    </w:p>
    <w:p>
      <w:pPr>
        <w:widowControl/>
        <w:tabs>
          <w:tab w:val="left" w:pos="1134"/>
        </w:tabs>
        <w:spacing w:line="360" w:lineRule="auto"/>
        <w:jc w:val="left"/>
        <w:rPr>
          <w:rFonts w:ascii="宋体"/>
          <w:b/>
          <w:bCs/>
          <w:color w:val="000000"/>
          <w:szCs w:val="24"/>
        </w:rPr>
      </w:pPr>
      <w:r>
        <w:rPr>
          <w:rFonts w:ascii="宋体" w:hAnsi="宋体" w:cs="宋体"/>
          <w:b/>
          <w:bCs/>
          <w:color w:val="000000"/>
          <w:szCs w:val="24"/>
        </w:rPr>
        <w:t xml:space="preserve">5.2 </w:t>
      </w:r>
      <w:r>
        <w:rPr>
          <w:rFonts w:hint="eastAsia" w:ascii="宋体" w:hAnsi="宋体" w:cs="宋体"/>
          <w:b/>
          <w:bCs/>
          <w:color w:val="000000"/>
          <w:szCs w:val="24"/>
        </w:rPr>
        <w:t>信用评价的基本含义</w:t>
      </w:r>
    </w:p>
    <w:p>
      <w:pPr>
        <w:widowControl/>
        <w:tabs>
          <w:tab w:val="left" w:pos="1134"/>
        </w:tabs>
        <w:spacing w:line="360" w:lineRule="auto"/>
        <w:ind w:firstLine="424" w:firstLineChars="202"/>
        <w:rPr>
          <w:rFonts w:ascii="宋体"/>
          <w:color w:val="000000"/>
          <w:kern w:val="44"/>
          <w:szCs w:val="24"/>
        </w:rPr>
      </w:pPr>
      <w:r>
        <w:rPr>
          <w:rFonts w:hint="eastAsia" w:ascii="宋体" w:hAnsi="宋体" w:cs="宋体"/>
          <w:color w:val="000000"/>
          <w:szCs w:val="24"/>
        </w:rPr>
        <w:t>中国建筑装饰行业家装企业信用等级评价首先是对受评主体</w:t>
      </w:r>
      <w:r>
        <w:rPr>
          <w:rFonts w:hint="eastAsia" w:ascii="宋体" w:hAnsi="宋体" w:cs="宋体"/>
          <w:color w:val="000000"/>
          <w:kern w:val="0"/>
          <w:szCs w:val="24"/>
        </w:rPr>
        <w:t>其资格、资质等进行符合性认证，以确认其合法存续且</w:t>
      </w:r>
      <w:r>
        <w:rPr>
          <w:rFonts w:hint="eastAsia" w:ascii="宋体" w:hAnsi="宋体" w:cs="宋体"/>
          <w:color w:val="000000"/>
          <w:kern w:val="44"/>
          <w:szCs w:val="24"/>
        </w:rPr>
        <w:t>具有独立承担民事责任的能力</w:t>
      </w:r>
      <w:r>
        <w:rPr>
          <w:rFonts w:hint="eastAsia" w:ascii="宋体" w:hAnsi="宋体" w:cs="宋体"/>
          <w:color w:val="000000"/>
          <w:kern w:val="0"/>
          <w:szCs w:val="24"/>
        </w:rPr>
        <w:t>、具有从事本行业</w:t>
      </w:r>
      <w:r>
        <w:rPr>
          <w:rFonts w:hint="eastAsia" w:ascii="宋体" w:hAnsi="宋体" w:cs="宋体"/>
          <w:color w:val="000000"/>
          <w:kern w:val="44"/>
          <w:szCs w:val="24"/>
        </w:rPr>
        <w:t>所必需的设备和专业技术的能力以及具有履行合同和社会责任的能力。在此前提条件下，再对其</w:t>
      </w:r>
      <w:r>
        <w:rPr>
          <w:rFonts w:hint="eastAsia" w:ascii="宋体" w:hAnsi="宋体" w:cs="宋体"/>
          <w:color w:val="000000"/>
          <w:szCs w:val="24"/>
        </w:rPr>
        <w:t>长期的信用状况和经营的稳定性进行的评估，即对受评主体的信用违约风险以及受评主体在外部环境变化时其主体</w:t>
      </w:r>
      <w:r>
        <w:rPr>
          <w:rFonts w:hint="eastAsia" w:ascii="宋体" w:hAnsi="宋体" w:cs="宋体"/>
          <w:color w:val="000000"/>
          <w:kern w:val="0"/>
          <w:szCs w:val="24"/>
        </w:rPr>
        <w:t>自身的适应能力</w:t>
      </w:r>
      <w:r>
        <w:rPr>
          <w:rFonts w:hint="eastAsia" w:ascii="宋体" w:hAnsi="宋体" w:cs="宋体"/>
          <w:color w:val="000000"/>
          <w:szCs w:val="24"/>
        </w:rPr>
        <w:t>进行评价，并对其信用风险临界表现给与说明。</w:t>
      </w:r>
    </w:p>
    <w:p>
      <w:pPr>
        <w:widowControl/>
        <w:tabs>
          <w:tab w:val="left" w:pos="1134"/>
        </w:tabs>
        <w:spacing w:line="360" w:lineRule="auto"/>
        <w:jc w:val="left"/>
        <w:rPr>
          <w:rFonts w:ascii="宋体"/>
          <w:b/>
          <w:bCs/>
          <w:color w:val="000000"/>
          <w:szCs w:val="24"/>
        </w:rPr>
      </w:pPr>
      <w:r>
        <w:rPr>
          <w:rFonts w:ascii="宋体" w:hAnsi="宋体" w:cs="宋体"/>
          <w:b/>
          <w:bCs/>
          <w:color w:val="000000"/>
          <w:szCs w:val="24"/>
        </w:rPr>
        <w:t xml:space="preserve">5.3 </w:t>
      </w:r>
      <w:r>
        <w:rPr>
          <w:rFonts w:hint="eastAsia" w:ascii="宋体" w:hAnsi="宋体" w:cs="宋体"/>
          <w:b/>
          <w:bCs/>
          <w:color w:val="000000"/>
          <w:szCs w:val="24"/>
        </w:rPr>
        <w:t>信用评价方法</w:t>
      </w:r>
    </w:p>
    <w:p>
      <w:pPr>
        <w:widowControl/>
        <w:tabs>
          <w:tab w:val="left" w:pos="1134"/>
        </w:tabs>
        <w:spacing w:line="360" w:lineRule="auto"/>
        <w:ind w:firstLine="424" w:firstLineChars="202"/>
        <w:jc w:val="left"/>
        <w:rPr>
          <w:rFonts w:ascii="宋体" w:hAnsi="宋体" w:cs="宋体"/>
          <w:color w:val="000000"/>
          <w:szCs w:val="24"/>
        </w:rPr>
      </w:pPr>
      <w:r>
        <w:rPr>
          <w:rFonts w:hint="eastAsia" w:ascii="宋体" w:hAnsi="宋体" w:cs="宋体"/>
          <w:color w:val="000000"/>
          <w:szCs w:val="24"/>
        </w:rPr>
        <w:t>中国建筑装饰行业家装企业信用评价应采用定性与定量相结合的方法，分析受评主体的基本素质、经营管理水平、财务实力、公共信用情况。对受评主体的基本素质、经营管理等可采用评分方法进行评价；对受评主体的竞争地位、运营效率以及信用风险等则应采用计量模型方法评价。</w:t>
      </w:r>
    </w:p>
    <w:p>
      <w:pPr>
        <w:widowControl/>
        <w:tabs>
          <w:tab w:val="left" w:pos="1134"/>
        </w:tabs>
        <w:spacing w:line="360" w:lineRule="auto"/>
        <w:jc w:val="left"/>
        <w:rPr>
          <w:rFonts w:ascii="宋体"/>
          <w:b/>
          <w:bCs/>
          <w:color w:val="000000"/>
          <w:szCs w:val="24"/>
        </w:rPr>
      </w:pPr>
      <w:r>
        <w:rPr>
          <w:rFonts w:ascii="宋体" w:hAnsi="宋体" w:cs="宋体"/>
          <w:b/>
          <w:bCs/>
          <w:color w:val="000000"/>
          <w:szCs w:val="24"/>
        </w:rPr>
        <w:t xml:space="preserve">5.4 </w:t>
      </w:r>
      <w:r>
        <w:rPr>
          <w:rFonts w:hint="eastAsia" w:ascii="宋体" w:hAnsi="宋体" w:cs="宋体"/>
          <w:b/>
          <w:bCs/>
          <w:color w:val="000000"/>
          <w:szCs w:val="24"/>
        </w:rPr>
        <w:t>信用评价指标体系</w:t>
      </w:r>
    </w:p>
    <w:p>
      <w:pPr>
        <w:spacing w:line="360" w:lineRule="auto"/>
        <w:ind w:right="-334" w:rightChars="-159" w:firstLine="482"/>
        <w:rPr>
          <w:rFonts w:ascii="Arial" w:hAnsi="Arial" w:cs="Arial"/>
          <w:kern w:val="0"/>
        </w:rPr>
      </w:pPr>
      <w:r>
        <w:rPr>
          <w:rFonts w:hint="eastAsia" w:ascii="Arial" w:hAnsi="Arial" w:cs="Arial"/>
          <w:kern w:val="0"/>
        </w:rPr>
        <w:t>建筑装饰行业家装企业信用评价的指标体系由企业基本素质、经营管理水平、财务实力以及公共信用记录等四部分构成。根据总值100%计量，其中各部分评价内容及所占权重分别为：</w:t>
      </w:r>
    </w:p>
    <w:p>
      <w:pPr>
        <w:numPr>
          <w:ilvl w:val="0"/>
          <w:numId w:val="3"/>
        </w:numPr>
        <w:tabs>
          <w:tab w:val="left" w:pos="0"/>
        </w:tabs>
        <w:spacing w:line="360" w:lineRule="auto"/>
        <w:ind w:left="0" w:right="-334" w:rightChars="-159" w:firstLine="426"/>
        <w:rPr>
          <w:rFonts w:ascii="Arial" w:hAnsi="Arial" w:cs="Arial"/>
          <w:kern w:val="0"/>
        </w:rPr>
      </w:pPr>
      <w:r>
        <w:rPr>
          <w:rFonts w:hint="eastAsia" w:ascii="Arial" w:hAnsi="Arial" w:cs="Arial"/>
          <w:kern w:val="0"/>
        </w:rPr>
        <w:t>企业基本素质评价内容包括</w:t>
      </w:r>
      <w:r>
        <w:rPr>
          <w:rFonts w:hint="eastAsia"/>
          <w:color w:val="000000"/>
          <w:szCs w:val="24"/>
        </w:rPr>
        <w:t>存续时间、实际资本到位情况、净资产规模、社保缴纳金额、家装设计师数量、工人数量、主营业务收入规模，权重为</w:t>
      </w:r>
      <w:r>
        <w:rPr>
          <w:rFonts w:ascii="Arial" w:hAnsi="Arial" w:cs="Arial"/>
          <w:kern w:val="0"/>
        </w:rPr>
        <w:t>15</w:t>
      </w:r>
      <w:r>
        <w:rPr>
          <w:rFonts w:hint="eastAsia"/>
          <w:color w:val="000000"/>
          <w:szCs w:val="24"/>
        </w:rPr>
        <w:t>%</w:t>
      </w:r>
      <w:r>
        <w:rPr>
          <w:rFonts w:hint="eastAsia" w:ascii="Arial" w:hAnsi="Arial" w:cs="Arial"/>
          <w:kern w:val="0"/>
        </w:rPr>
        <w:t>；</w:t>
      </w:r>
    </w:p>
    <w:p>
      <w:pPr>
        <w:numPr>
          <w:ilvl w:val="0"/>
          <w:numId w:val="3"/>
        </w:numPr>
        <w:tabs>
          <w:tab w:val="left" w:pos="0"/>
        </w:tabs>
        <w:spacing w:line="360" w:lineRule="auto"/>
        <w:ind w:left="0" w:right="-334" w:rightChars="-159" w:firstLine="426"/>
        <w:rPr>
          <w:rFonts w:ascii="Arial" w:hAnsi="Arial" w:cs="Arial"/>
          <w:kern w:val="0"/>
        </w:rPr>
      </w:pPr>
      <w:r>
        <w:rPr>
          <w:rFonts w:hint="eastAsia" w:ascii="Arial" w:hAnsi="Arial" w:cs="Arial"/>
          <w:kern w:val="0"/>
        </w:rPr>
        <w:t>经营管理水平评价内容包括管理制度建设、知识产权、管理信息系统建设、信息化集成程度、信息安全、交易信用等，权重为</w:t>
      </w:r>
      <w:r>
        <w:rPr>
          <w:rFonts w:ascii="Arial" w:hAnsi="Arial" w:cs="Arial"/>
          <w:kern w:val="0"/>
        </w:rPr>
        <w:t>25</w:t>
      </w:r>
      <w:r>
        <w:rPr>
          <w:rFonts w:hint="eastAsia" w:ascii="Arial" w:hAnsi="Arial" w:cs="Arial"/>
          <w:kern w:val="0"/>
        </w:rPr>
        <w:t>%；</w:t>
      </w:r>
    </w:p>
    <w:p>
      <w:pPr>
        <w:numPr>
          <w:ilvl w:val="0"/>
          <w:numId w:val="3"/>
        </w:numPr>
        <w:tabs>
          <w:tab w:val="left" w:pos="0"/>
        </w:tabs>
        <w:spacing w:line="360" w:lineRule="auto"/>
        <w:ind w:left="0" w:right="-334" w:rightChars="-159" w:firstLine="426"/>
        <w:rPr>
          <w:rFonts w:ascii="Arial" w:hAnsi="Arial" w:cs="Arial"/>
          <w:kern w:val="0"/>
        </w:rPr>
      </w:pPr>
      <w:r>
        <w:rPr>
          <w:rFonts w:hint="eastAsia" w:ascii="Arial" w:hAnsi="Arial" w:cs="Arial"/>
          <w:kern w:val="0"/>
        </w:rPr>
        <w:t>财务实力评价内容包括企业发展能力、企业经营稳定性、企业发展潜力及企业偿付能力，权重为</w:t>
      </w:r>
      <w:r>
        <w:rPr>
          <w:rFonts w:ascii="Arial" w:hAnsi="Arial" w:cs="Arial"/>
          <w:kern w:val="0"/>
        </w:rPr>
        <w:t>30</w:t>
      </w:r>
      <w:r>
        <w:rPr>
          <w:rFonts w:hint="eastAsia" w:ascii="Arial" w:hAnsi="Arial" w:cs="Arial"/>
          <w:kern w:val="0"/>
        </w:rPr>
        <w:t>%；</w:t>
      </w:r>
    </w:p>
    <w:p>
      <w:pPr>
        <w:numPr>
          <w:ilvl w:val="0"/>
          <w:numId w:val="3"/>
        </w:numPr>
        <w:tabs>
          <w:tab w:val="left" w:pos="0"/>
        </w:tabs>
        <w:spacing w:line="360" w:lineRule="auto"/>
        <w:ind w:left="0" w:right="-334" w:rightChars="-159" w:firstLine="426"/>
        <w:rPr>
          <w:rFonts w:ascii="Arial" w:hAnsi="Arial" w:cs="Arial"/>
          <w:kern w:val="0"/>
        </w:rPr>
      </w:pPr>
      <w:r>
        <w:rPr>
          <w:rFonts w:hint="eastAsia" w:ascii="Arial" w:hAnsi="Arial" w:cs="Arial"/>
          <w:kern w:val="0"/>
        </w:rPr>
        <w:t>公共信用记录评价内容包括纳税记录、行政处罚记录、被执行人记录、经营异常记录、奖励信息、公众监督、社会公益等，权重为</w:t>
      </w:r>
      <w:r>
        <w:rPr>
          <w:rFonts w:ascii="Arial" w:hAnsi="Arial" w:cs="Arial"/>
          <w:kern w:val="0"/>
        </w:rPr>
        <w:t>30</w:t>
      </w:r>
      <w:r>
        <w:rPr>
          <w:rFonts w:hint="eastAsia" w:ascii="Arial" w:hAnsi="Arial" w:cs="Arial"/>
          <w:kern w:val="0"/>
        </w:rPr>
        <w:t>%。</w:t>
      </w:r>
    </w:p>
    <w:p>
      <w:pPr>
        <w:widowControl/>
        <w:tabs>
          <w:tab w:val="left" w:pos="1134"/>
        </w:tabs>
        <w:spacing w:line="360" w:lineRule="auto"/>
        <w:jc w:val="left"/>
        <w:rPr>
          <w:rFonts w:ascii="宋体" w:hAnsi="宋体" w:cs="宋体"/>
          <w:b/>
          <w:bCs/>
          <w:color w:val="000000"/>
          <w:szCs w:val="24"/>
        </w:rPr>
      </w:pPr>
      <w:r>
        <w:rPr>
          <w:rFonts w:ascii="宋体" w:hAnsi="宋体" w:cs="宋体"/>
          <w:b/>
          <w:bCs/>
          <w:color w:val="000000"/>
          <w:szCs w:val="24"/>
        </w:rPr>
        <w:t xml:space="preserve">5.5 </w:t>
      </w:r>
      <w:r>
        <w:rPr>
          <w:rFonts w:hint="eastAsia" w:ascii="宋体" w:hAnsi="宋体" w:cs="宋体"/>
          <w:b/>
          <w:bCs/>
          <w:color w:val="000000"/>
          <w:szCs w:val="24"/>
        </w:rPr>
        <w:t>指标项</w:t>
      </w:r>
    </w:p>
    <w:p>
      <w:pPr>
        <w:tabs>
          <w:tab w:val="left" w:pos="993"/>
        </w:tabs>
        <w:spacing w:line="360" w:lineRule="auto"/>
        <w:ind w:right="-334" w:rightChars="-159" w:firstLine="420" w:firstLineChars="200"/>
        <w:rPr>
          <w:rFonts w:ascii="Arial" w:hAnsi="Arial" w:cs="Arial"/>
          <w:kern w:val="0"/>
        </w:rPr>
      </w:pPr>
      <w:r>
        <w:rPr>
          <w:rFonts w:hint="eastAsia" w:ascii="Arial" w:hAnsi="Arial" w:cs="Arial"/>
          <w:kern w:val="0"/>
        </w:rPr>
        <w:t>指标项及说明见附录A。</w:t>
      </w:r>
    </w:p>
    <w:p>
      <w:pPr>
        <w:keepNext/>
        <w:keepLines/>
        <w:spacing w:before="340" w:after="330" w:line="578" w:lineRule="auto"/>
        <w:jc w:val="left"/>
        <w:outlineLvl w:val="0"/>
        <w:rPr>
          <w:rFonts w:ascii="宋体" w:hAnsi="宋体" w:cs="宋体"/>
          <w:b/>
          <w:bCs/>
          <w:color w:val="000000"/>
          <w:kern w:val="44"/>
          <w:sz w:val="32"/>
          <w:szCs w:val="32"/>
        </w:rPr>
      </w:pPr>
      <w:bookmarkStart w:id="40" w:name="_Toc396315862"/>
      <w:bookmarkStart w:id="41" w:name="_Toc24371154"/>
      <w:r>
        <w:rPr>
          <w:rFonts w:ascii="宋体" w:hAnsi="宋体" w:cs="宋体"/>
          <w:b/>
          <w:bCs/>
          <w:color w:val="000000"/>
          <w:kern w:val="44"/>
          <w:sz w:val="32"/>
          <w:szCs w:val="32"/>
        </w:rPr>
        <w:t xml:space="preserve">6 </w:t>
      </w:r>
      <w:r>
        <w:rPr>
          <w:rFonts w:hint="eastAsia" w:ascii="宋体" w:hAnsi="宋体" w:cs="宋体"/>
          <w:b/>
          <w:bCs/>
          <w:color w:val="000000"/>
          <w:kern w:val="44"/>
          <w:sz w:val="32"/>
          <w:szCs w:val="32"/>
        </w:rPr>
        <w:t>信用</w:t>
      </w:r>
      <w:bookmarkEnd w:id="40"/>
      <w:r>
        <w:rPr>
          <w:rFonts w:hint="eastAsia" w:ascii="宋体" w:hAnsi="宋体" w:cs="宋体"/>
          <w:b/>
          <w:bCs/>
          <w:color w:val="000000"/>
          <w:kern w:val="44"/>
          <w:sz w:val="32"/>
          <w:szCs w:val="32"/>
        </w:rPr>
        <w:t>评价流程</w:t>
      </w:r>
      <w:bookmarkEnd w:id="41"/>
    </w:p>
    <w:p>
      <w:pPr>
        <w:spacing w:line="360" w:lineRule="auto"/>
        <w:jc w:val="left"/>
        <w:rPr>
          <w:rFonts w:ascii="宋体" w:hAnsi="宋体" w:cs="宋体"/>
          <w:b/>
          <w:bCs/>
          <w:color w:val="000000"/>
          <w:szCs w:val="24"/>
        </w:rPr>
      </w:pPr>
      <w:r>
        <w:rPr>
          <w:rFonts w:ascii="宋体" w:hAnsi="宋体" w:cs="宋体"/>
          <w:b/>
          <w:bCs/>
          <w:color w:val="000000"/>
          <w:szCs w:val="24"/>
        </w:rPr>
        <w:t xml:space="preserve">6.1 </w:t>
      </w:r>
      <w:r>
        <w:rPr>
          <w:rFonts w:hint="eastAsia" w:ascii="宋体" w:hAnsi="宋体" w:cs="宋体"/>
          <w:b/>
          <w:bCs/>
          <w:color w:val="000000"/>
          <w:szCs w:val="24"/>
        </w:rPr>
        <w:t>总则</w:t>
      </w:r>
    </w:p>
    <w:p>
      <w:pPr>
        <w:spacing w:line="360" w:lineRule="auto"/>
        <w:ind w:firstLine="420"/>
        <w:rPr>
          <w:szCs w:val="24"/>
        </w:rPr>
      </w:pPr>
      <w:r>
        <w:rPr>
          <w:rFonts w:hint="eastAsia"/>
          <w:szCs w:val="24"/>
        </w:rPr>
        <w:t>从事建筑装饰行业家装企业信用评价的机构应秉持信用评级机构国际通行的公允原则，确保信用评价过程公平、公正。</w:t>
      </w:r>
    </w:p>
    <w:p>
      <w:pPr>
        <w:spacing w:line="360" w:lineRule="auto"/>
        <w:ind w:firstLine="420" w:firstLineChars="200"/>
        <w:jc w:val="left"/>
        <w:rPr>
          <w:rFonts w:ascii="宋体"/>
          <w:b/>
          <w:bCs/>
          <w:color w:val="000000"/>
          <w:szCs w:val="24"/>
        </w:rPr>
      </w:pPr>
      <w:r>
        <w:rPr>
          <w:rFonts w:hint="eastAsia"/>
          <w:szCs w:val="24"/>
        </w:rPr>
        <w:t>所有建筑装饰行业家装企业参与信用评价均为企业的自愿行为。</w:t>
      </w:r>
    </w:p>
    <w:p>
      <w:pPr>
        <w:spacing w:line="360" w:lineRule="auto"/>
        <w:jc w:val="left"/>
        <w:rPr>
          <w:rFonts w:ascii="宋体" w:hAnsi="宋体" w:cs="宋体"/>
          <w:b/>
          <w:bCs/>
          <w:color w:val="000000"/>
          <w:szCs w:val="24"/>
        </w:rPr>
      </w:pPr>
      <w:r>
        <w:rPr>
          <w:rFonts w:ascii="宋体" w:hAnsi="宋体" w:cs="宋体"/>
          <w:b/>
          <w:bCs/>
          <w:color w:val="000000"/>
          <w:szCs w:val="24"/>
        </w:rPr>
        <w:t xml:space="preserve">6.2 </w:t>
      </w:r>
      <w:r>
        <w:rPr>
          <w:rFonts w:hint="eastAsia" w:ascii="宋体" w:hAnsi="宋体" w:cs="宋体"/>
          <w:b/>
          <w:bCs/>
          <w:color w:val="000000"/>
          <w:szCs w:val="24"/>
        </w:rPr>
        <w:t>工作流程</w:t>
      </w:r>
    </w:p>
    <w:p>
      <w:pPr>
        <w:spacing w:line="360" w:lineRule="auto"/>
        <w:ind w:firstLine="420"/>
        <w:rPr>
          <w:szCs w:val="24"/>
        </w:rPr>
      </w:pPr>
      <w:r>
        <w:rPr>
          <w:rFonts w:hint="eastAsia"/>
          <w:szCs w:val="24"/>
        </w:rPr>
        <w:t>建筑装饰行业家装企业信用评价流程一般包括受理申请、信息核实、等级确认、结果公示以及跟踪复评等。</w:t>
      </w:r>
    </w:p>
    <w:p>
      <w:pPr>
        <w:tabs>
          <w:tab w:val="left" w:pos="1134"/>
        </w:tabs>
        <w:spacing w:line="360" w:lineRule="auto"/>
        <w:ind w:left="2" w:firstLine="424" w:firstLineChars="202"/>
        <w:rPr>
          <w:szCs w:val="24"/>
        </w:rPr>
      </w:pPr>
      <w:r>
        <w:rPr>
          <w:rFonts w:hint="eastAsia"/>
          <w:szCs w:val="24"/>
        </w:rPr>
        <w:t>（1）受理申请：信用评价机构在收到评价对象的申请后，应审核申请方提交资料的完整性以确定是否接受信用评价申请。</w:t>
      </w:r>
    </w:p>
    <w:p>
      <w:pPr>
        <w:tabs>
          <w:tab w:val="left" w:pos="1134"/>
        </w:tabs>
        <w:spacing w:line="360" w:lineRule="auto"/>
        <w:ind w:left="2" w:firstLine="424" w:firstLineChars="202"/>
        <w:rPr>
          <w:szCs w:val="24"/>
        </w:rPr>
      </w:pPr>
      <w:r>
        <w:rPr>
          <w:rFonts w:hint="eastAsia"/>
          <w:szCs w:val="24"/>
        </w:rPr>
        <w:t>（2）信息核实：信用评价机构应对受评对象提供的各类信息进行核实，对其信息的真实性进行分析。</w:t>
      </w:r>
    </w:p>
    <w:p>
      <w:pPr>
        <w:tabs>
          <w:tab w:val="left" w:pos="1134"/>
        </w:tabs>
        <w:spacing w:line="360" w:lineRule="auto"/>
        <w:ind w:left="2" w:firstLine="424" w:firstLineChars="202"/>
        <w:rPr>
          <w:rFonts w:ascii="Arial" w:hAnsi="Arial" w:cs="Arial"/>
          <w:kern w:val="0"/>
        </w:rPr>
      </w:pPr>
      <w:r>
        <w:rPr>
          <w:rFonts w:hint="eastAsia"/>
          <w:szCs w:val="24"/>
        </w:rPr>
        <w:t>（3）等级确定：信用评价机构应根据建筑装饰行业家装企业信用评价的内容，对其</w:t>
      </w:r>
      <w:r>
        <w:rPr>
          <w:rFonts w:hint="eastAsia" w:ascii="Arial" w:hAnsi="Arial" w:cs="Arial"/>
          <w:kern w:val="0"/>
        </w:rPr>
        <w:t>企业基本素质、经营管理、财务实力以及公共信用记录等进行分析，撰写信用评价报告，并提出信用等级建议，</w:t>
      </w:r>
      <w:r>
        <w:rPr>
          <w:rFonts w:ascii="Arial" w:hAnsi="Arial" w:cs="Arial"/>
          <w:kern w:val="0"/>
        </w:rPr>
        <w:t>中国建筑装饰协会</w:t>
      </w:r>
      <w:r>
        <w:rPr>
          <w:rFonts w:hint="eastAsia" w:ascii="Arial" w:hAnsi="Arial" w:cs="Arial"/>
          <w:kern w:val="0"/>
        </w:rPr>
        <w:t>应对信用评价机构提交的信用评价报告进行审核并提出评审意见。确定评价对象的信用等级。如果无法确认信用等级，将无法确认的原因反馈给信用评价机构，由信用评价机构重新核实相关数据、分析，直到能够确定受评企业信用等级。</w:t>
      </w:r>
    </w:p>
    <w:p>
      <w:pPr>
        <w:tabs>
          <w:tab w:val="left" w:pos="1134"/>
        </w:tabs>
        <w:spacing w:line="360" w:lineRule="auto"/>
        <w:ind w:left="2" w:firstLine="424" w:firstLineChars="202"/>
        <w:rPr>
          <w:rFonts w:ascii="Arial" w:hAnsi="Arial" w:cs="Arial"/>
          <w:kern w:val="0"/>
        </w:rPr>
      </w:pPr>
      <w:r>
        <w:rPr>
          <w:rFonts w:hint="eastAsia" w:ascii="Arial" w:hAnsi="Arial" w:cs="Arial"/>
          <w:kern w:val="0"/>
        </w:rPr>
        <w:t>（4）结果公示：</w:t>
      </w:r>
      <w:r>
        <w:rPr>
          <w:rFonts w:ascii="Arial" w:hAnsi="Arial" w:cs="Arial"/>
          <w:kern w:val="0"/>
        </w:rPr>
        <w:t>中国建筑装饰协会</w:t>
      </w:r>
      <w:r>
        <w:rPr>
          <w:rFonts w:hint="eastAsia" w:ascii="Arial" w:hAnsi="Arial" w:cs="Arial"/>
          <w:kern w:val="0"/>
        </w:rPr>
        <w:t>根据国家法律及相关规定，依法发布受评企业的信用等级。</w:t>
      </w:r>
    </w:p>
    <w:p>
      <w:pPr>
        <w:spacing w:line="360" w:lineRule="auto"/>
        <w:ind w:firstLine="420" w:firstLineChars="200"/>
        <w:jc w:val="left"/>
        <w:rPr>
          <w:rFonts w:ascii="宋体" w:hAnsi="宋体" w:cs="宋体"/>
          <w:b/>
          <w:bCs/>
          <w:color w:val="000000"/>
          <w:szCs w:val="24"/>
        </w:rPr>
      </w:pPr>
      <w:r>
        <w:rPr>
          <w:rFonts w:hint="eastAsia" w:ascii="Arial" w:hAnsi="Arial" w:cs="Arial"/>
          <w:kern w:val="0"/>
        </w:rPr>
        <w:t>（5）跟踪复评：</w:t>
      </w:r>
      <w:r>
        <w:rPr>
          <w:rFonts w:ascii="Arial" w:hAnsi="Arial" w:cs="Arial"/>
          <w:kern w:val="0"/>
        </w:rPr>
        <w:t>中国建筑装饰协会</w:t>
      </w:r>
      <w:r>
        <w:rPr>
          <w:rFonts w:hint="eastAsia" w:ascii="Arial" w:hAnsi="Arial" w:cs="Arial"/>
          <w:kern w:val="0"/>
        </w:rPr>
        <w:t>应主动公布信用评价结果有效期。在有效期内，如果受评企业的信用等级发生变化，信用评价机构应及时将可能引起其信用等级变化的因素及分析结果提交</w:t>
      </w:r>
      <w:r>
        <w:rPr>
          <w:rFonts w:ascii="Arial" w:hAnsi="Arial" w:cs="Arial"/>
          <w:kern w:val="0"/>
        </w:rPr>
        <w:t>中国建筑装饰协会</w:t>
      </w:r>
      <w:r>
        <w:rPr>
          <w:rFonts w:hint="eastAsia" w:ascii="Arial" w:hAnsi="Arial" w:cs="Arial"/>
          <w:kern w:val="0"/>
        </w:rPr>
        <w:t>，由协会及时调整受评对象的信用等级。</w:t>
      </w:r>
    </w:p>
    <w:p>
      <w:pPr>
        <w:keepNext/>
        <w:keepLines/>
        <w:spacing w:before="340" w:after="330" w:line="578" w:lineRule="auto"/>
        <w:jc w:val="left"/>
        <w:outlineLvl w:val="0"/>
        <w:rPr>
          <w:rFonts w:ascii="宋体"/>
          <w:b/>
          <w:bCs/>
          <w:color w:val="000000"/>
          <w:kern w:val="44"/>
          <w:sz w:val="32"/>
          <w:szCs w:val="32"/>
        </w:rPr>
      </w:pPr>
      <w:bookmarkStart w:id="42" w:name="_Toc396315863"/>
      <w:bookmarkStart w:id="43" w:name="_Toc24371155"/>
      <w:r>
        <w:rPr>
          <w:rFonts w:ascii="宋体" w:hAnsi="宋体" w:cs="宋体"/>
          <w:b/>
          <w:bCs/>
          <w:color w:val="000000"/>
          <w:kern w:val="44"/>
          <w:sz w:val="32"/>
          <w:szCs w:val="32"/>
        </w:rPr>
        <w:t xml:space="preserve">7 </w:t>
      </w:r>
      <w:r>
        <w:rPr>
          <w:rFonts w:hint="eastAsia" w:ascii="宋体" w:hAnsi="宋体" w:cs="宋体"/>
          <w:b/>
          <w:bCs/>
          <w:color w:val="000000"/>
          <w:kern w:val="44"/>
          <w:sz w:val="32"/>
          <w:szCs w:val="32"/>
        </w:rPr>
        <w:t>信用</w:t>
      </w:r>
      <w:bookmarkEnd w:id="42"/>
      <w:r>
        <w:rPr>
          <w:rFonts w:hint="eastAsia" w:ascii="宋体" w:hAnsi="宋体" w:cs="宋体"/>
          <w:b/>
          <w:bCs/>
          <w:color w:val="000000"/>
          <w:kern w:val="44"/>
          <w:sz w:val="32"/>
          <w:szCs w:val="32"/>
        </w:rPr>
        <w:t>评价报告内容</w:t>
      </w:r>
      <w:bookmarkEnd w:id="43"/>
    </w:p>
    <w:p>
      <w:pPr>
        <w:tabs>
          <w:tab w:val="left" w:pos="993"/>
        </w:tabs>
        <w:spacing w:line="360" w:lineRule="auto"/>
        <w:ind w:right="-334" w:rightChars="-159" w:firstLine="424" w:firstLineChars="202"/>
        <w:rPr>
          <w:rFonts w:ascii="宋体"/>
          <w:color w:val="000000"/>
          <w:kern w:val="0"/>
          <w:szCs w:val="24"/>
        </w:rPr>
      </w:pPr>
      <w:r>
        <w:rPr>
          <w:rFonts w:hint="eastAsia" w:ascii="宋体" w:hAnsi="宋体" w:cs="宋体"/>
          <w:color w:val="000000"/>
          <w:kern w:val="0"/>
          <w:szCs w:val="24"/>
        </w:rPr>
        <w:t>中国建筑装饰行业家装企业信用评价报告由报告封面、声明、概述、正文、评价结论及附件等组成。</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7.1 </w:t>
      </w:r>
      <w:r>
        <w:rPr>
          <w:rFonts w:hint="eastAsia" w:ascii="宋体" w:hAnsi="宋体" w:cs="宋体"/>
          <w:b/>
          <w:bCs/>
          <w:color w:val="000000"/>
          <w:kern w:val="0"/>
        </w:rPr>
        <w:t>报告封面</w:t>
      </w:r>
    </w:p>
    <w:p>
      <w:pPr>
        <w:widowControl/>
        <w:autoSpaceDE w:val="0"/>
        <w:autoSpaceDN w:val="0"/>
        <w:spacing w:line="360" w:lineRule="auto"/>
        <w:ind w:firstLine="424" w:firstLineChars="202"/>
        <w:rPr>
          <w:rFonts w:ascii="宋体" w:hAnsi="宋体"/>
          <w:color w:val="000000"/>
          <w:kern w:val="0"/>
        </w:rPr>
      </w:pPr>
      <w:r>
        <w:rPr>
          <w:rFonts w:hint="eastAsia" w:ascii="宋体" w:hAnsi="宋体" w:cs="宋体"/>
          <w:color w:val="000000"/>
          <w:kern w:val="0"/>
        </w:rPr>
        <w:t>报告封面应注明受评主体名称、出具报告时间、评价机构名称等。</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7.2 </w:t>
      </w:r>
      <w:r>
        <w:rPr>
          <w:rFonts w:hint="eastAsia" w:ascii="宋体" w:hAnsi="宋体" w:cs="宋体"/>
          <w:b/>
          <w:bCs/>
          <w:color w:val="000000"/>
          <w:kern w:val="0"/>
        </w:rPr>
        <w:t>报告声明</w:t>
      </w:r>
    </w:p>
    <w:p>
      <w:pPr>
        <w:widowControl/>
        <w:autoSpaceDE w:val="0"/>
        <w:autoSpaceDN w:val="0"/>
        <w:spacing w:line="360" w:lineRule="auto"/>
        <w:ind w:firstLine="420" w:firstLineChars="200"/>
        <w:rPr>
          <w:rFonts w:ascii="宋体"/>
          <w:color w:val="000000"/>
          <w:kern w:val="0"/>
          <w:szCs w:val="24"/>
        </w:rPr>
      </w:pPr>
      <w:r>
        <w:rPr>
          <w:rFonts w:hint="eastAsia" w:ascii="宋体" w:hAnsi="宋体" w:cs="宋体"/>
          <w:color w:val="000000"/>
          <w:kern w:val="0"/>
          <w:szCs w:val="24"/>
        </w:rPr>
        <w:t>信用评价报告声明应包含以下内容：</w:t>
      </w:r>
    </w:p>
    <w:p>
      <w:pPr>
        <w:tabs>
          <w:tab w:val="left" w:pos="993"/>
        </w:tabs>
        <w:spacing w:line="360" w:lineRule="auto"/>
        <w:ind w:firstLine="420" w:firstLineChars="200"/>
        <w:rPr>
          <w:rFonts w:ascii="宋体"/>
          <w:color w:val="000000"/>
          <w:kern w:val="0"/>
        </w:rPr>
      </w:pPr>
      <w:r>
        <w:rPr>
          <w:rFonts w:hint="eastAsia"/>
        </w:rPr>
        <w:t>（1）</w:t>
      </w:r>
      <w:r>
        <w:rPr>
          <w:rFonts w:hint="eastAsia" w:ascii="宋体" w:hAnsi="宋体" w:cs="宋体"/>
          <w:color w:val="000000"/>
          <w:kern w:val="0"/>
        </w:rPr>
        <w:t>除因本次评价事项外，评价机构与受评主体构成委托关系外，评价机构、评估人员与受评主体不存在任何影响评价行为独立、客观、公正的关联关系；</w:t>
      </w:r>
    </w:p>
    <w:p>
      <w:pPr>
        <w:tabs>
          <w:tab w:val="left" w:pos="993"/>
        </w:tabs>
        <w:spacing w:line="360" w:lineRule="auto"/>
        <w:ind w:firstLine="420"/>
        <w:rPr>
          <w:rFonts w:ascii="宋体"/>
          <w:color w:val="000000"/>
          <w:kern w:val="0"/>
        </w:rPr>
      </w:pPr>
      <w:r>
        <w:rPr>
          <w:rFonts w:hint="eastAsia"/>
        </w:rPr>
        <w:t>（</w:t>
      </w:r>
      <w:r>
        <w:t>2</w:t>
      </w:r>
      <w:r>
        <w:rPr>
          <w:rFonts w:hint="eastAsia"/>
        </w:rPr>
        <w:t>）</w:t>
      </w:r>
      <w:r>
        <w:rPr>
          <w:rFonts w:hint="eastAsia" w:ascii="宋体" w:hAnsi="宋体" w:cs="宋体"/>
          <w:color w:val="000000"/>
          <w:kern w:val="0"/>
        </w:rPr>
        <w:t>评价机构与评估人员履行了勤勉尽责和诚信义务，有充分理由保证所出具的评价报告遵循了真实、客观、公正的原则；</w:t>
      </w:r>
    </w:p>
    <w:p>
      <w:pPr>
        <w:tabs>
          <w:tab w:val="left" w:pos="993"/>
        </w:tabs>
        <w:spacing w:line="360" w:lineRule="auto"/>
        <w:ind w:firstLine="420"/>
        <w:rPr>
          <w:rFonts w:ascii="宋体"/>
          <w:color w:val="000000"/>
          <w:kern w:val="0"/>
        </w:rPr>
      </w:pPr>
      <w:r>
        <w:rPr>
          <w:rFonts w:hint="eastAsia"/>
        </w:rPr>
        <w:t>（</w:t>
      </w:r>
      <w:r>
        <w:t>3</w:t>
      </w:r>
      <w:r>
        <w:rPr>
          <w:rFonts w:hint="eastAsia"/>
        </w:rPr>
        <w:t>）</w:t>
      </w:r>
      <w:r>
        <w:rPr>
          <w:rFonts w:hint="eastAsia" w:ascii="宋体" w:hAnsi="宋体" w:cs="宋体"/>
          <w:color w:val="000000"/>
          <w:kern w:val="0"/>
        </w:rPr>
        <w:t>信用评价报告的结论是评价机构依据中国建筑装饰行业家装企业信用评价体系的要求以及合理的内部信用评价标准和程序做出的独立判断，未因受评主体和其他任何组织或个人的不当影响改变评价观点；</w:t>
      </w:r>
    </w:p>
    <w:p>
      <w:pPr>
        <w:tabs>
          <w:tab w:val="left" w:pos="993"/>
        </w:tabs>
        <w:spacing w:line="360" w:lineRule="auto"/>
        <w:ind w:firstLine="420"/>
        <w:rPr>
          <w:rFonts w:ascii="宋体"/>
          <w:color w:val="000000"/>
          <w:kern w:val="0"/>
        </w:rPr>
      </w:pPr>
      <w:r>
        <w:rPr>
          <w:rFonts w:hint="eastAsia"/>
        </w:rPr>
        <w:t>（</w:t>
      </w:r>
      <w:r>
        <w:t>4</w:t>
      </w:r>
      <w:r>
        <w:rPr>
          <w:rFonts w:hint="eastAsia"/>
        </w:rPr>
        <w:t>）</w:t>
      </w:r>
      <w:r>
        <w:rPr>
          <w:rFonts w:hint="eastAsia" w:ascii="宋体" w:hAnsi="宋体" w:cs="宋体"/>
          <w:color w:val="000000"/>
          <w:kern w:val="0"/>
        </w:rPr>
        <w:t>信用评价报告用于相关决策参考，并非是某种决策的结论、建议；</w:t>
      </w:r>
    </w:p>
    <w:p>
      <w:pPr>
        <w:tabs>
          <w:tab w:val="left" w:pos="993"/>
        </w:tabs>
        <w:spacing w:line="360" w:lineRule="auto"/>
        <w:ind w:firstLine="420"/>
        <w:rPr>
          <w:rFonts w:ascii="宋体"/>
          <w:color w:val="000000"/>
          <w:kern w:val="0"/>
        </w:rPr>
      </w:pPr>
      <w:r>
        <w:rPr>
          <w:rFonts w:hint="eastAsia"/>
        </w:rPr>
        <w:t>（</w:t>
      </w:r>
      <w:r>
        <w:t>5</w:t>
      </w:r>
      <w:r>
        <w:rPr>
          <w:rFonts w:hint="eastAsia"/>
        </w:rPr>
        <w:t>）</w:t>
      </w:r>
      <w:r>
        <w:rPr>
          <w:rFonts w:hint="eastAsia" w:ascii="宋体" w:hAnsi="宋体" w:cs="宋体"/>
          <w:color w:val="000000"/>
          <w:kern w:val="0"/>
        </w:rPr>
        <w:t>本次信用评价结果的有效期等。</w:t>
      </w:r>
    </w:p>
    <w:p>
      <w:pPr>
        <w:widowControl/>
        <w:autoSpaceDE w:val="0"/>
        <w:autoSpaceDN w:val="0"/>
        <w:spacing w:line="360" w:lineRule="auto"/>
        <w:rPr>
          <w:rFonts w:ascii="宋体" w:hAnsi="宋体"/>
          <w:b/>
          <w:bCs/>
          <w:color w:val="000000"/>
          <w:kern w:val="0"/>
        </w:rPr>
      </w:pPr>
      <w:r>
        <w:rPr>
          <w:rFonts w:ascii="宋体" w:hAnsi="宋体" w:cs="宋体"/>
          <w:b/>
          <w:bCs/>
          <w:color w:val="000000"/>
          <w:kern w:val="0"/>
        </w:rPr>
        <w:t xml:space="preserve">7.3 </w:t>
      </w:r>
      <w:r>
        <w:rPr>
          <w:rFonts w:hint="eastAsia" w:ascii="宋体" w:hAnsi="宋体" w:cs="宋体"/>
          <w:b/>
          <w:bCs/>
          <w:color w:val="000000"/>
          <w:kern w:val="0"/>
        </w:rPr>
        <w:t>报告概述</w:t>
      </w:r>
    </w:p>
    <w:p>
      <w:pPr>
        <w:widowControl/>
        <w:autoSpaceDE w:val="0"/>
        <w:autoSpaceDN w:val="0"/>
        <w:spacing w:line="360" w:lineRule="auto"/>
        <w:ind w:firstLine="420" w:firstLineChars="200"/>
        <w:rPr>
          <w:rFonts w:ascii="宋体" w:hAnsi="宋体" w:cs="宋体"/>
          <w:color w:val="000000"/>
          <w:kern w:val="0"/>
          <w:szCs w:val="24"/>
        </w:rPr>
      </w:pPr>
      <w:r>
        <w:rPr>
          <w:rFonts w:hint="eastAsia" w:ascii="宋体" w:hAnsi="宋体" w:cs="宋体"/>
          <w:color w:val="000000"/>
          <w:kern w:val="0"/>
          <w:szCs w:val="24"/>
        </w:rPr>
        <w:t>报告概述是信用评价报告的总结性论述，以及公示信用评价机构及信用评价人员名称、报告有效期等。</w:t>
      </w:r>
    </w:p>
    <w:p>
      <w:pPr>
        <w:tabs>
          <w:tab w:val="left" w:pos="907"/>
        </w:tabs>
        <w:spacing w:line="360" w:lineRule="auto"/>
        <w:ind w:left="964" w:hanging="964"/>
        <w:rPr>
          <w:rFonts w:ascii="宋体"/>
          <w:b/>
          <w:bCs/>
          <w:color w:val="000000"/>
          <w:kern w:val="0"/>
          <w:szCs w:val="24"/>
        </w:rPr>
      </w:pPr>
      <w:r>
        <w:rPr>
          <w:rFonts w:ascii="宋体" w:hAnsi="宋体" w:cs="宋体"/>
          <w:b/>
          <w:bCs/>
          <w:color w:val="000000"/>
          <w:kern w:val="0"/>
          <w:szCs w:val="24"/>
        </w:rPr>
        <w:t xml:space="preserve">7.4 </w:t>
      </w:r>
      <w:r>
        <w:rPr>
          <w:rFonts w:hint="eastAsia" w:ascii="宋体" w:hAnsi="宋体" w:cs="宋体"/>
          <w:b/>
          <w:bCs/>
          <w:color w:val="000000"/>
          <w:kern w:val="0"/>
          <w:szCs w:val="24"/>
        </w:rPr>
        <w:t>报告正文</w:t>
      </w:r>
    </w:p>
    <w:p>
      <w:pPr>
        <w:tabs>
          <w:tab w:val="left" w:pos="567"/>
        </w:tabs>
        <w:spacing w:line="360" w:lineRule="auto"/>
        <w:ind w:firstLine="420"/>
        <w:rPr>
          <w:rFonts w:ascii="宋体" w:hAnsi="宋体" w:cs="宋体"/>
          <w:color w:val="000000"/>
          <w:kern w:val="0"/>
          <w:szCs w:val="24"/>
        </w:rPr>
      </w:pPr>
      <w:r>
        <w:rPr>
          <w:rFonts w:hint="eastAsia" w:ascii="宋体" w:hAnsi="宋体" w:cs="宋体"/>
          <w:color w:val="000000"/>
          <w:kern w:val="0"/>
          <w:szCs w:val="24"/>
        </w:rPr>
        <w:t>报告正文中应包括如下内容：</w:t>
      </w:r>
    </w:p>
    <w:p>
      <w:pPr>
        <w:numPr>
          <w:ilvl w:val="0"/>
          <w:numId w:val="4"/>
        </w:numPr>
        <w:spacing w:line="360" w:lineRule="auto"/>
        <w:ind w:left="993" w:hanging="567"/>
        <w:rPr>
          <w:szCs w:val="24"/>
        </w:rPr>
      </w:pPr>
      <w:r>
        <w:rPr>
          <w:rFonts w:hint="eastAsia"/>
          <w:szCs w:val="24"/>
        </w:rPr>
        <w:t>受评主体的基本信息；</w:t>
      </w:r>
    </w:p>
    <w:p>
      <w:pPr>
        <w:numPr>
          <w:ilvl w:val="0"/>
          <w:numId w:val="4"/>
        </w:numPr>
        <w:spacing w:line="360" w:lineRule="auto"/>
        <w:ind w:left="993" w:hanging="567"/>
        <w:rPr>
          <w:szCs w:val="24"/>
        </w:rPr>
      </w:pPr>
      <w:r>
        <w:rPr>
          <w:rFonts w:hint="eastAsia"/>
          <w:szCs w:val="24"/>
        </w:rPr>
        <w:t>受评主体知识产权；</w:t>
      </w:r>
    </w:p>
    <w:p>
      <w:pPr>
        <w:numPr>
          <w:ilvl w:val="0"/>
          <w:numId w:val="4"/>
        </w:numPr>
        <w:spacing w:line="360" w:lineRule="auto"/>
        <w:ind w:left="993" w:hanging="567"/>
        <w:rPr>
          <w:szCs w:val="24"/>
        </w:rPr>
      </w:pPr>
      <w:r>
        <w:rPr>
          <w:rFonts w:hint="eastAsia"/>
          <w:szCs w:val="24"/>
        </w:rPr>
        <w:t>受评主体的制度建设、执行情况；</w:t>
      </w:r>
    </w:p>
    <w:p>
      <w:pPr>
        <w:numPr>
          <w:ilvl w:val="0"/>
          <w:numId w:val="4"/>
        </w:numPr>
        <w:spacing w:line="360" w:lineRule="auto"/>
        <w:ind w:left="993" w:hanging="567"/>
        <w:rPr>
          <w:szCs w:val="24"/>
        </w:rPr>
      </w:pPr>
      <w:r>
        <w:rPr>
          <w:rFonts w:hint="eastAsia"/>
          <w:szCs w:val="24"/>
        </w:rPr>
        <w:t>受评主体信息化建设情况；</w:t>
      </w:r>
    </w:p>
    <w:p>
      <w:pPr>
        <w:numPr>
          <w:ilvl w:val="0"/>
          <w:numId w:val="4"/>
        </w:numPr>
        <w:spacing w:line="360" w:lineRule="auto"/>
        <w:ind w:left="993" w:hanging="567"/>
        <w:rPr>
          <w:szCs w:val="24"/>
        </w:rPr>
      </w:pPr>
      <w:r>
        <w:rPr>
          <w:rFonts w:hint="eastAsia"/>
          <w:szCs w:val="24"/>
        </w:rPr>
        <w:t>受评主体的人力结构；</w:t>
      </w:r>
    </w:p>
    <w:p>
      <w:pPr>
        <w:numPr>
          <w:ilvl w:val="0"/>
          <w:numId w:val="4"/>
        </w:numPr>
        <w:spacing w:line="360" w:lineRule="auto"/>
        <w:ind w:left="993" w:hanging="567"/>
        <w:rPr>
          <w:szCs w:val="24"/>
        </w:rPr>
      </w:pPr>
      <w:r>
        <w:rPr>
          <w:rFonts w:hint="eastAsia"/>
          <w:szCs w:val="24"/>
        </w:rPr>
        <w:t>受评主体的财务实力分析；</w:t>
      </w:r>
    </w:p>
    <w:p>
      <w:pPr>
        <w:numPr>
          <w:ilvl w:val="0"/>
          <w:numId w:val="4"/>
        </w:numPr>
        <w:spacing w:line="360" w:lineRule="auto"/>
        <w:ind w:left="993" w:hanging="567"/>
        <w:rPr>
          <w:szCs w:val="24"/>
        </w:rPr>
      </w:pPr>
      <w:r>
        <w:rPr>
          <w:rFonts w:hint="eastAsia"/>
          <w:szCs w:val="24"/>
        </w:rPr>
        <w:t>受评主体的商业信用记录；</w:t>
      </w:r>
    </w:p>
    <w:p>
      <w:pPr>
        <w:numPr>
          <w:ilvl w:val="0"/>
          <w:numId w:val="4"/>
        </w:numPr>
        <w:spacing w:line="360" w:lineRule="auto"/>
        <w:ind w:left="993" w:hanging="567"/>
        <w:rPr>
          <w:szCs w:val="24"/>
        </w:rPr>
      </w:pPr>
      <w:r>
        <w:rPr>
          <w:rFonts w:hint="eastAsia"/>
          <w:szCs w:val="24"/>
        </w:rPr>
        <w:t>受评主体的公共信用记录；</w:t>
      </w:r>
    </w:p>
    <w:p>
      <w:pPr>
        <w:numPr>
          <w:ilvl w:val="0"/>
          <w:numId w:val="4"/>
        </w:numPr>
        <w:spacing w:line="360" w:lineRule="auto"/>
        <w:ind w:left="993" w:hanging="567"/>
        <w:rPr>
          <w:szCs w:val="24"/>
        </w:rPr>
      </w:pPr>
      <w:r>
        <w:rPr>
          <w:rFonts w:hint="eastAsia"/>
          <w:szCs w:val="24"/>
        </w:rPr>
        <w:t>受评主体的信用评价结论以及结论的含义说明。</w:t>
      </w:r>
    </w:p>
    <w:p>
      <w:pPr>
        <w:tabs>
          <w:tab w:val="left" w:pos="567"/>
          <w:tab w:val="left" w:pos="993"/>
        </w:tabs>
        <w:spacing w:line="360" w:lineRule="auto"/>
        <w:rPr>
          <w:rFonts w:ascii="宋体"/>
          <w:b/>
          <w:bCs/>
          <w:color w:val="000000"/>
          <w:kern w:val="0"/>
          <w:szCs w:val="24"/>
        </w:rPr>
      </w:pPr>
      <w:bookmarkStart w:id="44" w:name="_Toc128885586"/>
      <w:r>
        <w:rPr>
          <w:rFonts w:ascii="宋体" w:hAnsi="宋体" w:cs="宋体"/>
          <w:b/>
          <w:bCs/>
          <w:color w:val="000000"/>
          <w:kern w:val="0"/>
          <w:szCs w:val="24"/>
        </w:rPr>
        <w:t xml:space="preserve">7.5 </w:t>
      </w:r>
      <w:bookmarkEnd w:id="44"/>
      <w:r>
        <w:rPr>
          <w:rFonts w:hint="eastAsia" w:ascii="宋体" w:hAnsi="宋体" w:cs="宋体"/>
          <w:b/>
          <w:bCs/>
          <w:color w:val="000000"/>
          <w:kern w:val="0"/>
          <w:szCs w:val="24"/>
        </w:rPr>
        <w:t>报告附件</w:t>
      </w:r>
    </w:p>
    <w:p>
      <w:pPr>
        <w:widowControl/>
        <w:autoSpaceDE w:val="0"/>
        <w:autoSpaceDN w:val="0"/>
        <w:spacing w:line="360" w:lineRule="auto"/>
        <w:ind w:firstLine="420" w:firstLineChars="200"/>
        <w:rPr>
          <w:rFonts w:ascii="宋体"/>
          <w:color w:val="000000"/>
          <w:kern w:val="0"/>
          <w:szCs w:val="24"/>
        </w:rPr>
      </w:pPr>
      <w:r>
        <w:rPr>
          <w:rFonts w:hint="eastAsia" w:ascii="宋体" w:hAnsi="宋体" w:cs="宋体"/>
          <w:color w:val="000000"/>
          <w:kern w:val="0"/>
          <w:szCs w:val="24"/>
        </w:rPr>
        <w:t>报告附件是报告正文的补充性文件，应包括以下内容：</w:t>
      </w:r>
    </w:p>
    <w:p>
      <w:pPr>
        <w:widowControl/>
        <w:autoSpaceDE w:val="0"/>
        <w:autoSpaceDN w:val="0"/>
        <w:spacing w:line="360" w:lineRule="auto"/>
        <w:ind w:firstLine="420" w:firstLineChars="200"/>
        <w:rPr>
          <w:rFonts w:ascii="宋体"/>
          <w:color w:val="000000"/>
          <w:kern w:val="0"/>
          <w:szCs w:val="24"/>
        </w:rPr>
      </w:pPr>
      <w:r>
        <w:rPr>
          <w:rFonts w:hint="eastAsia" w:ascii="宋体" w:hAnsi="宋体" w:cs="宋体"/>
          <w:color w:val="000000"/>
          <w:kern w:val="0"/>
          <w:szCs w:val="24"/>
        </w:rPr>
        <w:t>（1）中国建筑装饰行业家装企业信用等级分类及释义；</w:t>
      </w:r>
    </w:p>
    <w:p>
      <w:pPr>
        <w:widowControl/>
        <w:autoSpaceDE w:val="0"/>
        <w:autoSpaceDN w:val="0"/>
        <w:spacing w:line="360" w:lineRule="auto"/>
        <w:ind w:firstLine="420" w:firstLineChars="200"/>
        <w:rPr>
          <w:rFonts w:ascii="宋体"/>
          <w:color w:val="000000"/>
          <w:kern w:val="0"/>
          <w:szCs w:val="24"/>
        </w:rPr>
      </w:pPr>
      <w:r>
        <w:rPr>
          <w:rFonts w:hint="eastAsia" w:ascii="宋体" w:hAnsi="宋体" w:cs="宋体"/>
          <w:color w:val="000000"/>
          <w:kern w:val="0"/>
          <w:szCs w:val="24"/>
        </w:rPr>
        <w:t>（</w:t>
      </w:r>
      <w:r>
        <w:rPr>
          <w:rFonts w:ascii="宋体" w:hAnsi="宋体" w:cs="宋体"/>
          <w:color w:val="000000"/>
          <w:kern w:val="0"/>
          <w:szCs w:val="24"/>
        </w:rPr>
        <w:t>2</w:t>
      </w:r>
      <w:r>
        <w:rPr>
          <w:rFonts w:hint="eastAsia" w:ascii="宋体" w:hAnsi="宋体" w:cs="宋体"/>
          <w:color w:val="000000"/>
          <w:kern w:val="0"/>
          <w:szCs w:val="24"/>
        </w:rPr>
        <w:t>）其他。</w:t>
      </w:r>
    </w:p>
    <w:p>
      <w:pPr>
        <w:keepNext/>
        <w:keepLines/>
        <w:spacing w:before="340" w:after="330" w:line="578" w:lineRule="auto"/>
        <w:jc w:val="center"/>
        <w:outlineLvl w:val="0"/>
        <w:rPr>
          <w:rFonts w:ascii="宋体" w:hAnsi="宋体" w:cs="宋体"/>
          <w:b/>
          <w:bCs/>
          <w:color w:val="000000"/>
          <w:kern w:val="44"/>
          <w:sz w:val="32"/>
          <w:szCs w:val="32"/>
        </w:rPr>
      </w:pPr>
      <w:bookmarkStart w:id="45" w:name="_Toc396315866"/>
      <w:bookmarkStart w:id="46" w:name="_Toc24371156"/>
      <w:r>
        <w:rPr>
          <w:rFonts w:hint="eastAsia" w:ascii="宋体" w:hAnsi="宋体" w:cs="宋体"/>
          <w:b/>
          <w:bCs/>
          <w:color w:val="000000"/>
          <w:kern w:val="44"/>
          <w:sz w:val="32"/>
          <w:szCs w:val="32"/>
        </w:rPr>
        <w:t>附录</w:t>
      </w:r>
      <w:r>
        <w:rPr>
          <w:rFonts w:ascii="宋体" w:hAnsi="宋体" w:cs="宋体"/>
          <w:b/>
          <w:bCs/>
          <w:color w:val="000000"/>
          <w:kern w:val="44"/>
          <w:sz w:val="32"/>
          <w:szCs w:val="32"/>
        </w:rPr>
        <w:t>A</w:t>
      </w:r>
      <w:bookmarkEnd w:id="45"/>
      <w:r>
        <w:rPr>
          <w:rFonts w:ascii="宋体" w:hAnsi="宋体" w:cs="宋体"/>
          <w:b/>
          <w:bCs/>
          <w:color w:val="000000"/>
          <w:kern w:val="44"/>
          <w:sz w:val="32"/>
          <w:szCs w:val="32"/>
        </w:rPr>
        <w:t xml:space="preserve"> </w:t>
      </w:r>
      <w:r>
        <w:rPr>
          <w:rFonts w:hint="eastAsia" w:ascii="宋体" w:hAnsi="宋体" w:cs="宋体"/>
          <w:b/>
          <w:bCs/>
          <w:color w:val="000000"/>
          <w:kern w:val="44"/>
          <w:sz w:val="32"/>
          <w:szCs w:val="32"/>
        </w:rPr>
        <w:t>（规范性附录）</w:t>
      </w:r>
      <w:bookmarkEnd w:id="46"/>
    </w:p>
    <w:p>
      <w:pPr>
        <w:spacing w:line="360" w:lineRule="auto"/>
        <w:jc w:val="center"/>
        <w:rPr>
          <w:rFonts w:ascii="宋体"/>
          <w:b/>
          <w:bCs/>
          <w:color w:val="000000"/>
          <w:sz w:val="28"/>
          <w:szCs w:val="28"/>
        </w:rPr>
      </w:pPr>
      <w:r>
        <w:rPr>
          <w:rFonts w:hint="eastAsia" w:ascii="宋体" w:hAnsi="宋体" w:cs="宋体"/>
          <w:b/>
          <w:bCs/>
          <w:color w:val="000000"/>
          <w:sz w:val="28"/>
          <w:szCs w:val="28"/>
        </w:rPr>
        <w:t>中国建筑装饰行业家装企业信用评价指标体系、权重及评分表</w:t>
      </w:r>
    </w:p>
    <w:p>
      <w:pPr>
        <w:spacing w:line="600" w:lineRule="exact"/>
        <w:ind w:left="-849" w:leftChars="-405" w:hanging="1"/>
        <w:jc w:val="left"/>
        <w:outlineLvl w:val="0"/>
        <w:rPr>
          <w:rFonts w:ascii="仿宋_GB2312" w:hAnsi="宋体" w:eastAsia="仿宋_GB2312"/>
          <w:b/>
          <w:color w:val="000000"/>
          <w:sz w:val="22"/>
          <w:szCs w:val="30"/>
        </w:rPr>
      </w:pPr>
      <w:bookmarkStart w:id="47" w:name="_Toc24371157"/>
      <w:bookmarkStart w:id="48" w:name="_Toc24028248"/>
      <w:r>
        <w:rPr>
          <w:rFonts w:hint="eastAsia" w:ascii="仿宋_GB2312" w:hAnsi="宋体" w:eastAsia="仿宋_GB2312"/>
          <w:b/>
          <w:color w:val="000000"/>
          <w:sz w:val="22"/>
          <w:szCs w:val="30"/>
        </w:rPr>
        <w:t>一.企业基本素质</w:t>
      </w:r>
      <w:bookmarkEnd w:id="47"/>
      <w:bookmarkEnd w:id="48"/>
    </w:p>
    <w:p>
      <w:pPr>
        <w:spacing w:line="360" w:lineRule="auto"/>
        <w:ind w:left="-850" w:leftChars="-405" w:right="-710" w:rightChars="-338" w:firstLine="422" w:firstLineChars="201"/>
        <w:rPr>
          <w:color w:val="000000"/>
          <w:szCs w:val="24"/>
        </w:rPr>
      </w:pPr>
      <w:r>
        <w:rPr>
          <w:rFonts w:hint="eastAsia"/>
          <w:color w:val="000000"/>
          <w:szCs w:val="24"/>
        </w:rPr>
        <w:t>企业基本素质由五方面构成，分别是存续时间、实际资本到位情况、净资产规模、社保缴纳金额、家装设计师数量、工人数量、主营业务收入规模。权重为</w:t>
      </w:r>
      <w:r>
        <w:rPr>
          <w:color w:val="000000"/>
          <w:szCs w:val="24"/>
        </w:rPr>
        <w:t>15</w:t>
      </w:r>
      <w:r>
        <w:rPr>
          <w:rFonts w:hint="eastAsia"/>
          <w:color w:val="000000"/>
          <w:szCs w:val="24"/>
        </w:rPr>
        <w:t>%。</w:t>
      </w:r>
    </w:p>
    <w:tbl>
      <w:tblPr>
        <w:tblStyle w:val="19"/>
        <w:tblW w:w="9955" w:type="dxa"/>
        <w:tblInd w:w="-775" w:type="dxa"/>
        <w:tblLayout w:type="fixed"/>
        <w:tblCellMar>
          <w:top w:w="0" w:type="dxa"/>
          <w:left w:w="108" w:type="dxa"/>
          <w:bottom w:w="0" w:type="dxa"/>
          <w:right w:w="108" w:type="dxa"/>
        </w:tblCellMar>
      </w:tblPr>
      <w:tblGrid>
        <w:gridCol w:w="1025"/>
        <w:gridCol w:w="851"/>
        <w:gridCol w:w="1275"/>
        <w:gridCol w:w="851"/>
        <w:gridCol w:w="2835"/>
        <w:gridCol w:w="1984"/>
        <w:gridCol w:w="1134"/>
      </w:tblGrid>
      <w:tr>
        <w:tblPrEx>
          <w:tblCellMar>
            <w:top w:w="0" w:type="dxa"/>
            <w:left w:w="108" w:type="dxa"/>
            <w:bottom w:w="0" w:type="dxa"/>
            <w:right w:w="108" w:type="dxa"/>
          </w:tblCellMar>
        </w:tblPrEx>
        <w:trPr>
          <w:trHeight w:val="20" w:hRule="atLeast"/>
        </w:trPr>
        <w:tc>
          <w:tcPr>
            <w:tcW w:w="1876"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2126" w:type="dxa"/>
            <w:gridSpan w:val="2"/>
            <w:tcBorders>
              <w:top w:val="single" w:color="auto" w:sz="4" w:space="0"/>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2835" w:type="dxa"/>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指标说明</w:t>
            </w:r>
          </w:p>
        </w:tc>
        <w:tc>
          <w:tcPr>
            <w:tcW w:w="3118" w:type="dxa"/>
            <w:gridSpan w:val="2"/>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评价方法及计分标准</w:t>
            </w:r>
          </w:p>
        </w:tc>
      </w:tr>
      <w:tr>
        <w:tblPrEx>
          <w:tblCellMar>
            <w:top w:w="0" w:type="dxa"/>
            <w:left w:w="108" w:type="dxa"/>
            <w:bottom w:w="0" w:type="dxa"/>
            <w:right w:w="108" w:type="dxa"/>
          </w:tblCellMar>
        </w:tblPrEx>
        <w:trPr>
          <w:trHeight w:val="20" w:hRule="atLeast"/>
        </w:trPr>
        <w:tc>
          <w:tcPr>
            <w:tcW w:w="1025" w:type="dxa"/>
            <w:tcBorders>
              <w:top w:val="nil"/>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851"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1275"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851"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1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0" w:hRule="atLeast"/>
        </w:trPr>
        <w:tc>
          <w:tcPr>
            <w:tcW w:w="102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企业基本素质</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存续时间</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存续时间可以直观反映企业的行业经验，一般情况下经营年限越长企业经营越稳定。</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经营年限（年）</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[15，20)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8</w:t>
            </w:r>
            <w:r>
              <w:rPr>
                <w:rFonts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[10，15)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60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[5，10)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4</w:t>
            </w:r>
            <w:r>
              <w:rPr>
                <w:rFonts w:hint="eastAsia"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实际资本到位情况</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5</w:t>
            </w:r>
            <w:r>
              <w:rPr>
                <w:rFonts w:hint="eastAsia" w:ascii="宋体" w:hAnsi="宋体" w:cs="宋体"/>
                <w:color w:val="000000"/>
                <w:kern w:val="0"/>
                <w:sz w:val="18"/>
                <w:szCs w:val="18"/>
              </w:rPr>
              <w:t>%</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实际资本到位情况反映了企业实际收到的资本金数额。</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 xml:space="preserve">实收资本 </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1</w:t>
            </w:r>
            <w:r>
              <w:rPr>
                <w:rFonts w:hint="eastAsia" w:ascii="宋体" w:hAnsi="宋体" w:cs="Arial Unicode MS"/>
                <w:color w:val="000000"/>
                <w:kern w:val="0"/>
                <w:sz w:val="18"/>
                <w:szCs w:val="18"/>
              </w:rPr>
              <w:t>亿元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[5000</w:t>
            </w:r>
            <w:r>
              <w:rPr>
                <w:rFonts w:hint="eastAsia" w:ascii="宋体" w:hAnsi="宋体" w:cs="Arial Unicode MS"/>
                <w:color w:val="000000"/>
                <w:kern w:val="0"/>
                <w:sz w:val="18"/>
                <w:szCs w:val="18"/>
              </w:rPr>
              <w:t>万元</w:t>
            </w:r>
            <w:r>
              <w:rPr>
                <w:rFonts w:ascii="宋体" w:hAnsi="宋体" w:cs="Arial Unicode MS"/>
                <w:color w:val="000000"/>
                <w:kern w:val="0"/>
                <w:sz w:val="18"/>
                <w:szCs w:val="18"/>
              </w:rPr>
              <w:t>，1</w:t>
            </w:r>
            <w:r>
              <w:rPr>
                <w:rFonts w:hint="eastAsia" w:ascii="宋体" w:hAnsi="宋体" w:cs="Arial Unicode MS"/>
                <w:color w:val="000000"/>
                <w:kern w:val="0"/>
                <w:sz w:val="18"/>
                <w:szCs w:val="18"/>
              </w:rPr>
              <w:t>亿元</w:t>
            </w:r>
            <w:r>
              <w:rPr>
                <w:rFonts w:ascii="宋体" w:hAnsi="宋体" w:cs="Arial Unicode MS"/>
                <w:color w:val="000000"/>
                <w:kern w:val="0"/>
                <w:sz w:val="18"/>
                <w:szCs w:val="18"/>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8</w:t>
            </w:r>
            <w:r>
              <w:rPr>
                <w:rFonts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[2000</w:t>
            </w:r>
            <w:r>
              <w:rPr>
                <w:rFonts w:hint="eastAsia" w:ascii="宋体" w:hAnsi="宋体" w:cs="Arial Unicode MS"/>
                <w:color w:val="000000"/>
                <w:kern w:val="0"/>
                <w:sz w:val="18"/>
                <w:szCs w:val="18"/>
              </w:rPr>
              <w:t>万元</w:t>
            </w:r>
            <w:r>
              <w:rPr>
                <w:rFonts w:ascii="宋体" w:hAnsi="宋体" w:cs="Arial Unicode MS"/>
                <w:color w:val="000000"/>
                <w:kern w:val="0"/>
                <w:sz w:val="18"/>
                <w:szCs w:val="18"/>
              </w:rPr>
              <w:t>，5000</w:t>
            </w:r>
            <w:r>
              <w:rPr>
                <w:rFonts w:hint="eastAsia" w:ascii="宋体" w:hAnsi="宋体" w:cs="Arial Unicode MS"/>
                <w:color w:val="000000"/>
                <w:kern w:val="0"/>
                <w:sz w:val="18"/>
                <w:szCs w:val="18"/>
              </w:rPr>
              <w:t>万元</w:t>
            </w:r>
            <w:r>
              <w:rPr>
                <w:rFonts w:ascii="宋体" w:hAnsi="宋体" w:cs="Arial Unicode MS"/>
                <w:color w:val="000000"/>
                <w:kern w:val="0"/>
                <w:sz w:val="18"/>
                <w:szCs w:val="18"/>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60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[500</w:t>
            </w:r>
            <w:r>
              <w:rPr>
                <w:rFonts w:hint="eastAsia" w:ascii="宋体" w:hAnsi="宋体" w:cs="Arial Unicode MS"/>
                <w:color w:val="000000"/>
                <w:kern w:val="0"/>
                <w:sz w:val="18"/>
                <w:szCs w:val="18"/>
              </w:rPr>
              <w:t>万元</w:t>
            </w:r>
            <w:r>
              <w:rPr>
                <w:rFonts w:ascii="宋体" w:hAnsi="宋体" w:cs="Arial Unicode MS"/>
                <w:color w:val="000000"/>
                <w:kern w:val="0"/>
                <w:sz w:val="18"/>
                <w:szCs w:val="18"/>
              </w:rPr>
              <w:t>，2000</w:t>
            </w:r>
            <w:r>
              <w:rPr>
                <w:rFonts w:hint="eastAsia" w:ascii="宋体" w:hAnsi="宋体" w:cs="Arial Unicode MS"/>
                <w:color w:val="000000"/>
                <w:kern w:val="0"/>
                <w:sz w:val="18"/>
                <w:szCs w:val="18"/>
              </w:rPr>
              <w:t>万元</w:t>
            </w:r>
            <w:r>
              <w:rPr>
                <w:rFonts w:ascii="宋体" w:hAnsi="宋体" w:cs="Arial Unicode MS"/>
                <w:color w:val="000000"/>
                <w:kern w:val="0"/>
                <w:sz w:val="18"/>
                <w:szCs w:val="18"/>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4</w:t>
            </w:r>
            <w:r>
              <w:rPr>
                <w:rFonts w:hint="eastAsia"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500</w:t>
            </w:r>
            <w:r>
              <w:rPr>
                <w:rFonts w:hint="eastAsia" w:ascii="宋体" w:hAnsi="宋体" w:cs="Arial Unicode MS"/>
                <w:color w:val="000000"/>
                <w:kern w:val="0"/>
                <w:sz w:val="18"/>
                <w:szCs w:val="18"/>
              </w:rPr>
              <w:t>万元</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20</w:t>
            </w:r>
          </w:p>
        </w:tc>
      </w:tr>
      <w:tr>
        <w:tblPrEx>
          <w:tblCellMar>
            <w:top w:w="0" w:type="dxa"/>
            <w:left w:w="108" w:type="dxa"/>
            <w:bottom w:w="0" w:type="dxa"/>
            <w:right w:w="108" w:type="dxa"/>
          </w:tblCellMar>
        </w:tblPrEx>
        <w:trPr>
          <w:trHeight w:val="34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净资产规模</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考察受评企业近一年度净资产规模。</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0" w:lineRule="atLeast"/>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净资产（万元）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1.5</w:t>
            </w:r>
            <w:r>
              <w:rPr>
                <w:rFonts w:hint="eastAsia" w:ascii="宋体" w:hAnsi="宋体" w:cs="Arial Unicode MS"/>
                <w:color w:val="000000"/>
                <w:kern w:val="0"/>
                <w:sz w:val="18"/>
                <w:szCs w:val="18"/>
              </w:rPr>
              <w:t>亿元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w:t>
            </w:r>
            <w:r>
              <w:rPr>
                <w:rFonts w:hint="eastAsia" w:ascii="宋体" w:hAnsi="宋体" w:cs="Arial Unicode MS"/>
                <w:color w:val="000000"/>
                <w:kern w:val="0"/>
                <w:sz w:val="18"/>
                <w:szCs w:val="18"/>
              </w:rPr>
              <w:t>亿元</w:t>
            </w:r>
            <w:r>
              <w:rPr>
                <w:rFonts w:ascii="宋体" w:hAnsi="宋体" w:cs="Arial Unicode MS"/>
                <w:color w:val="000000"/>
                <w:kern w:val="0"/>
                <w:sz w:val="18"/>
                <w:szCs w:val="18"/>
              </w:rPr>
              <w:t>，1.5</w:t>
            </w:r>
            <w:r>
              <w:rPr>
                <w:rFonts w:hint="eastAsia" w:ascii="宋体" w:hAnsi="宋体" w:cs="Arial Unicode MS"/>
                <w:color w:val="000000"/>
                <w:kern w:val="0"/>
                <w:sz w:val="18"/>
                <w:szCs w:val="18"/>
              </w:rPr>
              <w:t>亿元</w:t>
            </w:r>
            <w:r>
              <w:rPr>
                <w:rFonts w:ascii="宋体" w:hAnsi="宋体" w:cs="Arial Unicode MS"/>
                <w:color w:val="000000"/>
                <w:kern w:val="0"/>
                <w:sz w:val="18"/>
                <w:szCs w:val="18"/>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80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[5000</w:t>
            </w:r>
            <w:r>
              <w:rPr>
                <w:rFonts w:hint="eastAsia" w:ascii="宋体" w:hAnsi="宋体" w:cs="Arial Unicode MS"/>
                <w:color w:val="000000"/>
                <w:kern w:val="0"/>
                <w:sz w:val="18"/>
                <w:szCs w:val="18"/>
              </w:rPr>
              <w:t>万元</w:t>
            </w:r>
            <w:r>
              <w:rPr>
                <w:rFonts w:ascii="宋体" w:hAnsi="宋体" w:cs="Arial Unicode MS"/>
                <w:color w:val="000000"/>
                <w:kern w:val="0"/>
                <w:sz w:val="18"/>
                <w:szCs w:val="18"/>
              </w:rPr>
              <w:t>，1</w:t>
            </w:r>
            <w:r>
              <w:rPr>
                <w:rFonts w:hint="eastAsia" w:ascii="宋体" w:hAnsi="宋体" w:cs="Arial Unicode MS"/>
                <w:color w:val="000000"/>
                <w:kern w:val="0"/>
                <w:sz w:val="18"/>
                <w:szCs w:val="18"/>
              </w:rPr>
              <w:t>亿元</w:t>
            </w:r>
            <w:r>
              <w:rPr>
                <w:rFonts w:ascii="宋体" w:hAnsi="宋体" w:cs="Arial Unicode MS"/>
                <w:color w:val="000000"/>
                <w:kern w:val="0"/>
                <w:sz w:val="18"/>
                <w:szCs w:val="18"/>
              </w:rPr>
              <w:t>)</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60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[1000</w:t>
            </w:r>
            <w:r>
              <w:rPr>
                <w:rFonts w:hint="eastAsia" w:ascii="宋体" w:hAnsi="宋体" w:cs="Arial Unicode MS"/>
                <w:color w:val="000000"/>
                <w:kern w:val="0"/>
                <w:sz w:val="18"/>
                <w:szCs w:val="18"/>
              </w:rPr>
              <w:t>万元</w:t>
            </w:r>
            <w:r>
              <w:rPr>
                <w:rFonts w:ascii="宋体" w:hAnsi="宋体" w:cs="Arial Unicode MS"/>
                <w:color w:val="000000"/>
                <w:kern w:val="0"/>
                <w:sz w:val="18"/>
                <w:szCs w:val="18"/>
              </w:rPr>
              <w:t>，5000</w:t>
            </w:r>
            <w:r>
              <w:rPr>
                <w:rFonts w:hint="eastAsia" w:ascii="宋体" w:hAnsi="宋体" w:cs="Arial Unicode MS"/>
                <w:color w:val="000000"/>
                <w:kern w:val="0"/>
                <w:sz w:val="18"/>
                <w:szCs w:val="18"/>
              </w:rPr>
              <w:t>万元</w:t>
            </w:r>
            <w:r>
              <w:rPr>
                <w:rFonts w:ascii="宋体" w:hAnsi="宋体" w:cs="Arial Unicode MS"/>
                <w:color w:val="000000"/>
                <w:kern w:val="0"/>
                <w:sz w:val="18"/>
                <w:szCs w:val="18"/>
              </w:rPr>
              <w:t>)</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40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1000</w:t>
            </w:r>
            <w:r>
              <w:rPr>
                <w:rFonts w:hint="eastAsia" w:ascii="宋体" w:hAnsi="宋体" w:cs="Arial Unicode MS"/>
                <w:color w:val="000000"/>
                <w:kern w:val="0"/>
                <w:sz w:val="18"/>
                <w:szCs w:val="18"/>
              </w:rPr>
              <w:t>万元</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20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restart"/>
            <w:tcBorders>
              <w:top w:val="nil"/>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社保缴纳金额</w:t>
            </w:r>
          </w:p>
        </w:tc>
        <w:tc>
          <w:tcPr>
            <w:tcW w:w="85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w:t>
            </w:r>
          </w:p>
        </w:tc>
        <w:tc>
          <w:tcPr>
            <w:tcW w:w="2835"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通过受评企业近一年度社保缴纳金额评估企业员工规模及缴纳社保规范程度。</w:t>
            </w: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社保缴纳金额（万元）</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50</w:t>
            </w:r>
            <w:r>
              <w:rPr>
                <w:rFonts w:hint="eastAsia" w:ascii="宋体" w:hAnsi="宋体" w:cs="Arial Unicode MS"/>
                <w:color w:val="000000"/>
                <w:kern w:val="0"/>
                <w:sz w:val="18"/>
                <w:szCs w:val="18"/>
              </w:rPr>
              <w:t>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[2000,5000)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80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[500,2000)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60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[200,500)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40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200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20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家装设计师数量</w:t>
            </w:r>
          </w:p>
        </w:tc>
        <w:tc>
          <w:tcPr>
            <w:tcW w:w="851"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w:t>
            </w:r>
          </w:p>
        </w:tc>
        <w:tc>
          <w:tcPr>
            <w:tcW w:w="2835" w:type="dxa"/>
            <w:vMerge w:val="restart"/>
            <w:tcBorders>
              <w:left w:val="single" w:color="auto" w:sz="4" w:space="0"/>
              <w:right w:val="single" w:color="auto" w:sz="4" w:space="0"/>
            </w:tcBorders>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通过受评企业在中国建筑装饰协会备案家装设计师数量评估企业家装设计实力。</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家装设计师（人）</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1000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[500,1000)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80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[200,500)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60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[50,200)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40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20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用工数量</w:t>
            </w:r>
          </w:p>
        </w:tc>
        <w:tc>
          <w:tcPr>
            <w:tcW w:w="851"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w:t>
            </w:r>
          </w:p>
        </w:tc>
        <w:tc>
          <w:tcPr>
            <w:tcW w:w="2835"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通过受评企业为工人购买商业保险的数量评估企业近一年雇佣家装施工人员规模。</w:t>
            </w: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用工数量（人）</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10000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[5000,10000)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80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[2000,5000)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60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[500,2000)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40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500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20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主营业务收入规模</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考察受评企业近一年度家装业务收入规模。</w:t>
            </w: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营业收入</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20</w:t>
            </w:r>
            <w:r>
              <w:rPr>
                <w:rFonts w:hint="eastAsia" w:ascii="宋体" w:hAnsi="宋体" w:cs="Arial Unicode MS"/>
                <w:color w:val="000000"/>
                <w:kern w:val="0"/>
                <w:sz w:val="18"/>
                <w:szCs w:val="18"/>
              </w:rPr>
              <w:t>亿元</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[10</w:t>
            </w:r>
            <w:r>
              <w:rPr>
                <w:rFonts w:hint="eastAsia" w:ascii="宋体" w:hAnsi="宋体" w:cs="Arial Unicode MS"/>
                <w:color w:val="000000"/>
                <w:kern w:val="0"/>
                <w:sz w:val="18"/>
                <w:szCs w:val="18"/>
              </w:rPr>
              <w:t>亿元</w:t>
            </w:r>
            <w:r>
              <w:rPr>
                <w:rFonts w:ascii="宋体" w:hAnsi="宋体" w:cs="Arial Unicode MS"/>
                <w:color w:val="000000"/>
                <w:kern w:val="0"/>
                <w:sz w:val="18"/>
                <w:szCs w:val="18"/>
              </w:rPr>
              <w:t>,20</w:t>
            </w:r>
            <w:r>
              <w:rPr>
                <w:rFonts w:hint="eastAsia" w:ascii="宋体" w:hAnsi="宋体" w:cs="Arial Unicode MS"/>
                <w:color w:val="000000"/>
                <w:kern w:val="0"/>
                <w:sz w:val="18"/>
                <w:szCs w:val="18"/>
              </w:rPr>
              <w:t>亿元</w:t>
            </w:r>
            <w:r>
              <w:rPr>
                <w:rFonts w:ascii="宋体" w:hAnsi="宋体" w:cs="Arial Unicode MS"/>
                <w:color w:val="000000"/>
                <w:kern w:val="0"/>
                <w:sz w:val="18"/>
                <w:szCs w:val="18"/>
              </w:rPr>
              <w:t>)</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80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w:t>
            </w:r>
            <w:r>
              <w:rPr>
                <w:rFonts w:hint="eastAsia" w:ascii="宋体" w:hAnsi="宋体" w:cs="Arial Unicode MS"/>
                <w:color w:val="000000"/>
                <w:kern w:val="0"/>
                <w:sz w:val="18"/>
                <w:szCs w:val="18"/>
              </w:rPr>
              <w:t>亿元</w:t>
            </w:r>
            <w:r>
              <w:rPr>
                <w:rFonts w:ascii="宋体" w:hAnsi="宋体" w:cs="Arial Unicode MS"/>
                <w:color w:val="000000"/>
                <w:kern w:val="0"/>
                <w:sz w:val="18"/>
                <w:szCs w:val="18"/>
              </w:rPr>
              <w:t>,10</w:t>
            </w:r>
            <w:r>
              <w:rPr>
                <w:rFonts w:hint="eastAsia" w:ascii="宋体" w:hAnsi="宋体" w:cs="Arial Unicode MS"/>
                <w:color w:val="000000"/>
                <w:kern w:val="0"/>
                <w:sz w:val="18"/>
                <w:szCs w:val="18"/>
              </w:rPr>
              <w:t>亿元</w:t>
            </w:r>
            <w:r>
              <w:rPr>
                <w:rFonts w:ascii="宋体" w:hAnsi="宋体" w:cs="Arial Unicode MS"/>
                <w:color w:val="000000"/>
                <w:kern w:val="0"/>
                <w:sz w:val="18"/>
                <w:szCs w:val="18"/>
              </w:rPr>
              <w:t>)</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60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[3000</w:t>
            </w:r>
            <w:r>
              <w:rPr>
                <w:rFonts w:hint="eastAsia" w:ascii="宋体" w:hAnsi="宋体" w:cs="Arial Unicode MS"/>
                <w:color w:val="000000"/>
                <w:kern w:val="0"/>
                <w:sz w:val="18"/>
                <w:szCs w:val="18"/>
              </w:rPr>
              <w:t>万元</w:t>
            </w:r>
            <w:r>
              <w:rPr>
                <w:rFonts w:ascii="宋体" w:hAnsi="宋体" w:cs="Arial Unicode MS"/>
                <w:color w:val="000000"/>
                <w:kern w:val="0"/>
                <w:sz w:val="18"/>
                <w:szCs w:val="18"/>
              </w:rPr>
              <w:t>,1</w:t>
            </w:r>
            <w:r>
              <w:rPr>
                <w:rFonts w:hint="eastAsia" w:ascii="宋体" w:hAnsi="宋体" w:cs="Arial Unicode MS"/>
                <w:color w:val="000000"/>
                <w:kern w:val="0"/>
                <w:sz w:val="18"/>
                <w:szCs w:val="18"/>
              </w:rPr>
              <w:t>亿元</w:t>
            </w:r>
            <w:r>
              <w:rPr>
                <w:rFonts w:ascii="宋体" w:hAnsi="宋体" w:cs="Arial Unicode MS"/>
                <w:color w:val="000000"/>
                <w:kern w:val="0"/>
                <w:sz w:val="18"/>
                <w:szCs w:val="18"/>
              </w:rPr>
              <w:t>)</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4</w:t>
            </w:r>
            <w:r>
              <w:rPr>
                <w:rFonts w:hint="eastAsia"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102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3</w:t>
            </w:r>
            <w:r>
              <w:rPr>
                <w:rFonts w:hint="eastAsia" w:ascii="宋体" w:hAnsi="宋体" w:cs="Arial Unicode MS"/>
                <w:color w:val="000000"/>
                <w:kern w:val="0"/>
                <w:sz w:val="18"/>
                <w:szCs w:val="18"/>
              </w:rPr>
              <w:t>0</w:t>
            </w:r>
            <w:r>
              <w:rPr>
                <w:rFonts w:ascii="宋体" w:hAnsi="宋体" w:cs="Arial Unicode MS"/>
                <w:color w:val="000000"/>
                <w:kern w:val="0"/>
                <w:sz w:val="18"/>
                <w:szCs w:val="18"/>
              </w:rPr>
              <w:t>00</w:t>
            </w:r>
            <w:r>
              <w:rPr>
                <w:rFonts w:hint="eastAsia" w:ascii="宋体" w:hAnsi="宋体" w:cs="Arial Unicode MS"/>
                <w:color w:val="000000"/>
                <w:kern w:val="0"/>
                <w:sz w:val="18"/>
                <w:szCs w:val="18"/>
              </w:rPr>
              <w:t>万元</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w:t>
            </w:r>
            <w:r>
              <w:rPr>
                <w:rFonts w:hint="eastAsia" w:ascii="宋体" w:hAnsi="宋体" w:cs="Arial Unicode MS"/>
                <w:color w:val="000000"/>
                <w:kern w:val="0"/>
                <w:sz w:val="18"/>
                <w:szCs w:val="18"/>
              </w:rPr>
              <w:t>0</w:t>
            </w:r>
          </w:p>
        </w:tc>
      </w:tr>
    </w:tbl>
    <w:p>
      <w:pPr>
        <w:spacing w:line="600" w:lineRule="exact"/>
        <w:ind w:left="-849" w:leftChars="-405" w:hanging="1"/>
        <w:jc w:val="left"/>
        <w:outlineLvl w:val="0"/>
        <w:rPr>
          <w:rFonts w:ascii="仿宋_GB2312" w:hAnsi="宋体" w:eastAsia="仿宋_GB2312"/>
          <w:b/>
          <w:color w:val="000000"/>
          <w:sz w:val="22"/>
          <w:szCs w:val="30"/>
        </w:rPr>
      </w:pPr>
      <w:bookmarkStart w:id="49" w:name="_Toc24371158"/>
      <w:bookmarkStart w:id="50" w:name="_Toc24028249"/>
      <w:r>
        <w:rPr>
          <w:rFonts w:hint="eastAsia" w:ascii="仿宋_GB2312" w:hAnsi="宋体" w:eastAsia="仿宋_GB2312"/>
          <w:b/>
          <w:color w:val="000000"/>
          <w:sz w:val="22"/>
          <w:szCs w:val="30"/>
        </w:rPr>
        <w:t>二、经营管理水平</w:t>
      </w:r>
      <w:bookmarkEnd w:id="49"/>
      <w:bookmarkEnd w:id="50"/>
    </w:p>
    <w:p>
      <w:pPr>
        <w:spacing w:line="360" w:lineRule="auto"/>
        <w:ind w:left="-850" w:leftChars="-405" w:right="-710" w:rightChars="-338" w:firstLine="420" w:firstLineChars="200"/>
        <w:rPr>
          <w:color w:val="000000"/>
          <w:szCs w:val="24"/>
        </w:rPr>
      </w:pPr>
      <w:r>
        <w:rPr>
          <w:rFonts w:hint="eastAsia"/>
          <w:color w:val="000000"/>
          <w:szCs w:val="24"/>
        </w:rPr>
        <w:t>经营管理水平指标包括管理制度建设、知识产权、管理信息系统建设、信息化集成程度、信息安全、交易信用等，权重为</w:t>
      </w:r>
      <w:r>
        <w:rPr>
          <w:color w:val="000000"/>
          <w:szCs w:val="24"/>
        </w:rPr>
        <w:t>25</w:t>
      </w:r>
      <w:r>
        <w:rPr>
          <w:rFonts w:hint="eastAsia"/>
          <w:color w:val="000000"/>
          <w:szCs w:val="24"/>
        </w:rPr>
        <w:t>%。</w:t>
      </w:r>
    </w:p>
    <w:tbl>
      <w:tblPr>
        <w:tblStyle w:val="19"/>
        <w:tblW w:w="9923" w:type="dxa"/>
        <w:tblInd w:w="-743" w:type="dxa"/>
        <w:tblLayout w:type="fixed"/>
        <w:tblCellMar>
          <w:top w:w="0" w:type="dxa"/>
          <w:left w:w="108" w:type="dxa"/>
          <w:bottom w:w="0" w:type="dxa"/>
          <w:right w:w="108" w:type="dxa"/>
        </w:tblCellMar>
      </w:tblPr>
      <w:tblGrid>
        <w:gridCol w:w="993"/>
        <w:gridCol w:w="851"/>
        <w:gridCol w:w="1275"/>
        <w:gridCol w:w="851"/>
        <w:gridCol w:w="2835"/>
        <w:gridCol w:w="1843"/>
        <w:gridCol w:w="1275"/>
      </w:tblGrid>
      <w:tr>
        <w:tblPrEx>
          <w:tblCellMar>
            <w:top w:w="0" w:type="dxa"/>
            <w:left w:w="108" w:type="dxa"/>
            <w:bottom w:w="0" w:type="dxa"/>
            <w:right w:w="108" w:type="dxa"/>
          </w:tblCellMar>
        </w:tblPrEx>
        <w:trPr>
          <w:trHeight w:val="20" w:hRule="atLeast"/>
        </w:trPr>
        <w:tc>
          <w:tcPr>
            <w:tcW w:w="1844"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2126" w:type="dxa"/>
            <w:gridSpan w:val="2"/>
            <w:tcBorders>
              <w:top w:val="single" w:color="auto" w:sz="4" w:space="0"/>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2835" w:type="dxa"/>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指标说明</w:t>
            </w:r>
          </w:p>
        </w:tc>
        <w:tc>
          <w:tcPr>
            <w:tcW w:w="3118" w:type="dxa"/>
            <w:gridSpan w:val="2"/>
            <w:vMerge w:val="restart"/>
            <w:tcBorders>
              <w:top w:val="single" w:color="auto" w:sz="4" w:space="0"/>
              <w:left w:val="single" w:color="auto" w:sz="4" w:space="0"/>
              <w:bottom w:val="single" w:color="auto" w:sz="4" w:space="0"/>
              <w:right w:val="single" w:color="000000" w:sz="8"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评价方法及计分标准</w:t>
            </w:r>
          </w:p>
        </w:tc>
      </w:tr>
      <w:tr>
        <w:tblPrEx>
          <w:tblCellMar>
            <w:top w:w="0" w:type="dxa"/>
            <w:left w:w="108" w:type="dxa"/>
            <w:bottom w:w="0" w:type="dxa"/>
            <w:right w:w="108" w:type="dxa"/>
          </w:tblCellMar>
        </w:tblPrEx>
        <w:trPr>
          <w:trHeight w:val="20" w:hRule="atLeast"/>
        </w:trPr>
        <w:tc>
          <w:tcPr>
            <w:tcW w:w="993" w:type="dxa"/>
            <w:tcBorders>
              <w:top w:val="nil"/>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851"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1275"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851"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2835" w:type="dxa"/>
            <w:vMerge w:val="continue"/>
            <w:tcBorders>
              <w:top w:val="single" w:color="auto" w:sz="8"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118" w:type="dxa"/>
            <w:gridSpan w:val="2"/>
            <w:vMerge w:val="continue"/>
            <w:tcBorders>
              <w:top w:val="single" w:color="auto" w:sz="8" w:space="0"/>
              <w:left w:val="single" w:color="auto" w:sz="4" w:space="0"/>
              <w:bottom w:val="single" w:color="auto" w:sz="4" w:space="0"/>
              <w:right w:val="single" w:color="000000" w:sz="8"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0" w:hRule="atLeast"/>
        </w:trPr>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经营管理水平</w:t>
            </w:r>
          </w:p>
        </w:tc>
        <w:tc>
          <w:tcPr>
            <w:tcW w:w="8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25%</w:t>
            </w:r>
          </w:p>
        </w:tc>
        <w:tc>
          <w:tcPr>
            <w:tcW w:w="1275" w:type="dxa"/>
            <w:vMerge w:val="restart"/>
            <w:tcBorders>
              <w:top w:val="nil"/>
              <w:left w:val="single" w:color="auto" w:sz="4" w:space="0"/>
              <w:right w:val="single" w:color="auto" w:sz="4" w:space="0"/>
            </w:tcBorders>
            <w:shd w:val="clear" w:color="auto" w:fill="auto"/>
            <w:noWrap/>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制度建设</w:t>
            </w:r>
          </w:p>
        </w:tc>
        <w:tc>
          <w:tcPr>
            <w:tcW w:w="851" w:type="dxa"/>
            <w:vMerge w:val="restart"/>
            <w:tcBorders>
              <w:top w:val="nil"/>
              <w:left w:val="single" w:color="auto" w:sz="4" w:space="0"/>
              <w:right w:val="single" w:color="auto" w:sz="4" w:space="0"/>
            </w:tcBorders>
            <w:shd w:val="clear" w:color="auto" w:fill="auto"/>
            <w:noWrap/>
            <w:vAlign w:val="center"/>
          </w:tcPr>
          <w:p>
            <w:pPr>
              <w:jc w:val="center"/>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p>
        </w:tc>
        <w:tc>
          <w:tcPr>
            <w:tcW w:w="2835" w:type="dxa"/>
            <w:vMerge w:val="restart"/>
            <w:tcBorders>
              <w:top w:val="nil"/>
              <w:left w:val="single" w:color="auto" w:sz="4" w:space="0"/>
              <w:right w:val="single" w:color="auto" w:sz="4" w:space="0"/>
            </w:tcBorders>
            <w:shd w:val="clear" w:color="auto" w:fill="auto"/>
            <w:noWrap/>
            <w:vAlign w:val="center"/>
          </w:tcPr>
          <w:p>
            <w:pPr>
              <w:jc w:val="left"/>
              <w:rPr>
                <w:rFonts w:ascii="宋体" w:hAnsi="宋体" w:cs="宋体"/>
                <w:color w:val="000000"/>
                <w:kern w:val="0"/>
                <w:sz w:val="18"/>
                <w:szCs w:val="18"/>
              </w:rPr>
            </w:pPr>
            <w:r>
              <w:rPr>
                <w:rFonts w:hint="eastAsia" w:ascii="宋体" w:hAnsi="宋体" w:cs="宋体"/>
                <w:color w:val="000000"/>
                <w:kern w:val="0"/>
                <w:sz w:val="18"/>
                <w:szCs w:val="18"/>
              </w:rPr>
              <w:t>考核企业的制度建设情况，完善的管理制度体系应至少包括项目制度、财务制度、采购制度、质量管理制度、人事制度、客户服务制度、营销制度、法务管理制度、信息管理制度等。</w:t>
            </w:r>
          </w:p>
        </w:tc>
        <w:tc>
          <w:tcPr>
            <w:tcW w:w="1843" w:type="dxa"/>
            <w:tcBorders>
              <w:top w:val="nil"/>
              <w:left w:val="nil"/>
              <w:bottom w:val="single" w:color="auto" w:sz="4" w:space="0"/>
              <w:right w:val="single" w:color="auto" w:sz="4" w:space="0"/>
            </w:tcBorders>
            <w:shd w:val="clear" w:color="auto" w:fill="auto"/>
            <w:noWrap/>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标准</w:t>
            </w:r>
          </w:p>
        </w:tc>
        <w:tc>
          <w:tcPr>
            <w:tcW w:w="1275" w:type="dxa"/>
            <w:tcBorders>
              <w:top w:val="nil"/>
              <w:left w:val="nil"/>
              <w:bottom w:val="single" w:color="auto" w:sz="4" w:space="0"/>
              <w:right w:val="single" w:color="auto" w:sz="4" w:space="0"/>
            </w:tcBorders>
            <w:shd w:val="clear" w:color="auto" w:fill="auto"/>
            <w:noWrap/>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jc w:val="center"/>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制度建设完善</w:t>
            </w:r>
          </w:p>
        </w:tc>
        <w:tc>
          <w:tcPr>
            <w:tcW w:w="1275" w:type="dxa"/>
            <w:tcBorders>
              <w:top w:val="nil"/>
              <w:left w:val="nil"/>
              <w:bottom w:val="single" w:color="auto" w:sz="4" w:space="0"/>
              <w:right w:val="single" w:color="auto" w:sz="4" w:space="0"/>
            </w:tcBorders>
            <w:shd w:val="clear" w:color="auto" w:fill="auto"/>
            <w:noWrap/>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851" w:type="dxa"/>
            <w:vMerge w:val="continue"/>
            <w:tcBorders>
              <w:left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18"/>
                <w:szCs w:val="18"/>
              </w:rPr>
            </w:pPr>
          </w:p>
        </w:tc>
        <w:tc>
          <w:tcPr>
            <w:tcW w:w="2835" w:type="dxa"/>
            <w:vMerge w:val="continue"/>
            <w:tcBorders>
              <w:left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制定部分制度，制度体系尚不完善</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50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283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仅建立少部分制度</w:t>
            </w:r>
          </w:p>
        </w:tc>
        <w:tc>
          <w:tcPr>
            <w:tcW w:w="127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0</w:t>
            </w:r>
          </w:p>
        </w:tc>
      </w:tr>
      <w:tr>
        <w:tblPrEx>
          <w:tblCellMar>
            <w:top w:w="0" w:type="dxa"/>
            <w:left w:w="108" w:type="dxa"/>
            <w:bottom w:w="0" w:type="dxa"/>
            <w:right w:w="108" w:type="dxa"/>
          </w:tblCellMar>
        </w:tblPrEx>
        <w:trPr>
          <w:trHeight w:val="160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知识产权</w:t>
            </w:r>
          </w:p>
        </w:tc>
        <w:tc>
          <w:tcPr>
            <w:tcW w:w="851" w:type="dxa"/>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5</w:t>
            </w:r>
            <w:r>
              <w:rPr>
                <w:rFonts w:hint="eastAsia" w:ascii="宋体" w:hAnsi="宋体" w:cs="宋体"/>
                <w:color w:val="000000"/>
                <w:kern w:val="0"/>
                <w:sz w:val="18"/>
                <w:szCs w:val="18"/>
              </w:rPr>
              <w:t>%</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考核受评企业技术创新能力，知识产权包括专利、计算机软件著作权等。</w:t>
            </w:r>
          </w:p>
        </w:tc>
        <w:tc>
          <w:tcPr>
            <w:tcW w:w="311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Arial Unicode MS"/>
                <w:color w:val="000000"/>
                <w:kern w:val="0"/>
                <w:sz w:val="18"/>
                <w:szCs w:val="18"/>
              </w:rPr>
            </w:pPr>
            <w:r>
              <w:rPr>
                <w:rFonts w:hint="eastAsia" w:ascii="宋体" w:hAnsi="宋体" w:cs="宋体"/>
                <w:color w:val="000000"/>
                <w:kern w:val="0"/>
                <w:sz w:val="18"/>
                <w:szCs w:val="18"/>
              </w:rPr>
              <w:t>本项为加分项，</w:t>
            </w:r>
            <w:r>
              <w:rPr>
                <w:rFonts w:hint="eastAsia" w:ascii="宋体" w:hAnsi="宋体" w:cs="Arial Unicode MS"/>
                <w:color w:val="000000"/>
                <w:kern w:val="0"/>
                <w:sz w:val="18"/>
                <w:szCs w:val="18"/>
              </w:rPr>
              <w:t>发明专利每项加2</w:t>
            </w:r>
            <w:r>
              <w:rPr>
                <w:rFonts w:ascii="宋体" w:hAnsi="宋体" w:cs="Arial Unicode MS"/>
                <w:color w:val="000000"/>
                <w:kern w:val="0"/>
                <w:sz w:val="18"/>
                <w:szCs w:val="18"/>
              </w:rPr>
              <w:t>0</w:t>
            </w:r>
            <w:r>
              <w:rPr>
                <w:rFonts w:hint="eastAsia" w:ascii="宋体" w:hAnsi="宋体" w:cs="Arial Unicode MS"/>
                <w:color w:val="000000"/>
                <w:kern w:val="0"/>
                <w:sz w:val="18"/>
                <w:szCs w:val="18"/>
              </w:rPr>
              <w:t>分，实用新型专利/外观设计专利每项加</w:t>
            </w:r>
            <w:r>
              <w:rPr>
                <w:rFonts w:ascii="宋体" w:hAnsi="宋体" w:cs="Arial Unicode MS"/>
                <w:color w:val="000000"/>
                <w:kern w:val="0"/>
                <w:sz w:val="18"/>
                <w:szCs w:val="18"/>
              </w:rPr>
              <w:t>5</w:t>
            </w:r>
            <w:r>
              <w:rPr>
                <w:rFonts w:hint="eastAsia" w:ascii="宋体" w:hAnsi="宋体" w:cs="Arial Unicode MS"/>
                <w:color w:val="000000"/>
                <w:kern w:val="0"/>
                <w:sz w:val="18"/>
                <w:szCs w:val="18"/>
              </w:rPr>
              <w:t>分，计算机软件著作权每项加</w:t>
            </w:r>
            <w:r>
              <w:rPr>
                <w:rFonts w:ascii="宋体" w:hAnsi="宋体" w:cs="Arial Unicode MS"/>
                <w:color w:val="000000"/>
                <w:kern w:val="0"/>
                <w:sz w:val="18"/>
                <w:szCs w:val="18"/>
              </w:rPr>
              <w:t>3</w:t>
            </w:r>
            <w:r>
              <w:rPr>
                <w:rFonts w:hint="eastAsia" w:ascii="宋体" w:hAnsi="宋体" w:cs="Arial Unicode MS"/>
                <w:color w:val="000000"/>
                <w:kern w:val="0"/>
                <w:sz w:val="18"/>
                <w:szCs w:val="18"/>
              </w:rPr>
              <w:t>分，本项满分1</w:t>
            </w:r>
            <w:r>
              <w:rPr>
                <w:rFonts w:ascii="宋体" w:hAnsi="宋体" w:cs="Arial Unicode MS"/>
                <w:color w:val="000000"/>
                <w:kern w:val="0"/>
                <w:sz w:val="18"/>
                <w:szCs w:val="18"/>
              </w:rPr>
              <w:t>00</w:t>
            </w:r>
            <w:r>
              <w:rPr>
                <w:rFonts w:hint="eastAsia" w:ascii="宋体" w:hAnsi="宋体" w:cs="Arial Unicode MS"/>
                <w:color w:val="000000"/>
                <w:kern w:val="0"/>
                <w:sz w:val="18"/>
                <w:szCs w:val="18"/>
              </w:rPr>
              <w:t>分</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管理信息系统建设</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p>
        </w:tc>
        <w:tc>
          <w:tcPr>
            <w:tcW w:w="2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考核受评企业是否建立办公管理系统与业务运营管理系统</w:t>
            </w:r>
          </w:p>
          <w:p>
            <w:pPr>
              <w:widowControl/>
              <w:rPr>
                <w:rFonts w:ascii="宋体" w:hAnsi="宋体" w:cs="宋体"/>
                <w:color w:val="000000"/>
                <w:kern w:val="0"/>
                <w:sz w:val="18"/>
                <w:szCs w:val="18"/>
              </w:rPr>
            </w:pPr>
            <w:r>
              <w:rPr>
                <w:rFonts w:hint="eastAsia" w:ascii="宋体" w:hAnsi="宋体" w:cs="宋体"/>
                <w:color w:val="000000"/>
                <w:kern w:val="0"/>
                <w:sz w:val="18"/>
                <w:szCs w:val="18"/>
              </w:rPr>
              <w:t>包括：</w:t>
            </w:r>
          </w:p>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人力资源管理系统 </w:t>
            </w:r>
          </w:p>
          <w:p>
            <w:pPr>
              <w:widowControl/>
              <w:rPr>
                <w:rFonts w:ascii="宋体" w:hAnsi="宋体" w:cs="宋体"/>
                <w:color w:val="000000"/>
                <w:kern w:val="0"/>
                <w:sz w:val="18"/>
                <w:szCs w:val="18"/>
              </w:rPr>
            </w:pPr>
            <w:r>
              <w:rPr>
                <w:rFonts w:hint="eastAsia" w:ascii="宋体" w:hAnsi="宋体" w:cs="宋体"/>
                <w:color w:val="000000"/>
                <w:kern w:val="0"/>
                <w:sz w:val="18"/>
                <w:szCs w:val="18"/>
              </w:rPr>
              <w:t>OA办公自动化系统</w:t>
            </w:r>
          </w:p>
          <w:p>
            <w:pPr>
              <w:widowControl/>
              <w:rPr>
                <w:rFonts w:ascii="宋体" w:hAnsi="宋体" w:cs="宋体"/>
                <w:color w:val="000000"/>
                <w:kern w:val="0"/>
                <w:sz w:val="18"/>
                <w:szCs w:val="18"/>
              </w:rPr>
            </w:pPr>
            <w:r>
              <w:rPr>
                <w:rFonts w:hint="eastAsia" w:ascii="宋体" w:hAnsi="宋体" w:cs="宋体"/>
                <w:color w:val="000000"/>
                <w:kern w:val="0"/>
                <w:sz w:val="18"/>
                <w:szCs w:val="18"/>
              </w:rPr>
              <w:t>营销管理系统</w:t>
            </w:r>
          </w:p>
          <w:p>
            <w:pPr>
              <w:widowControl/>
              <w:rPr>
                <w:rFonts w:ascii="宋体" w:hAnsi="宋体" w:cs="宋体"/>
                <w:color w:val="000000"/>
                <w:kern w:val="0"/>
                <w:sz w:val="18"/>
                <w:szCs w:val="18"/>
              </w:rPr>
            </w:pPr>
            <w:r>
              <w:rPr>
                <w:rFonts w:hint="eastAsia" w:ascii="宋体" w:hAnsi="宋体" w:cs="宋体"/>
                <w:color w:val="000000"/>
                <w:kern w:val="0"/>
                <w:sz w:val="18"/>
                <w:szCs w:val="18"/>
              </w:rPr>
              <w:t>财务管理系统</w:t>
            </w:r>
          </w:p>
          <w:p>
            <w:pPr>
              <w:widowControl/>
              <w:rPr>
                <w:rFonts w:ascii="宋体" w:hAnsi="宋体" w:cs="宋体"/>
                <w:color w:val="000000"/>
                <w:kern w:val="0"/>
                <w:sz w:val="18"/>
                <w:szCs w:val="18"/>
              </w:rPr>
            </w:pPr>
            <w:r>
              <w:rPr>
                <w:rFonts w:hint="eastAsia" w:ascii="宋体" w:hAnsi="宋体" w:cs="宋体"/>
                <w:color w:val="000000"/>
                <w:kern w:val="0"/>
                <w:sz w:val="18"/>
                <w:szCs w:val="18"/>
              </w:rPr>
              <w:t>工程项目管理系统</w:t>
            </w:r>
          </w:p>
          <w:p>
            <w:pPr>
              <w:widowControl/>
              <w:rPr>
                <w:rFonts w:ascii="宋体" w:hAnsi="宋体" w:cs="宋体"/>
                <w:color w:val="000000"/>
                <w:kern w:val="0"/>
                <w:sz w:val="18"/>
                <w:szCs w:val="18"/>
              </w:rPr>
            </w:pPr>
            <w:r>
              <w:rPr>
                <w:rFonts w:hint="eastAsia" w:ascii="宋体" w:hAnsi="宋体" w:cs="宋体"/>
                <w:color w:val="000000"/>
                <w:kern w:val="0"/>
                <w:sz w:val="18"/>
                <w:szCs w:val="18"/>
              </w:rPr>
              <w:t xml:space="preserve">合同档案管理系统 </w:t>
            </w:r>
          </w:p>
          <w:p>
            <w:pPr>
              <w:widowControl/>
              <w:rPr>
                <w:rFonts w:ascii="宋体" w:hAnsi="宋体" w:cs="宋体"/>
                <w:color w:val="000000"/>
                <w:kern w:val="0"/>
                <w:sz w:val="18"/>
                <w:szCs w:val="18"/>
              </w:rPr>
            </w:pPr>
            <w:r>
              <w:rPr>
                <w:rFonts w:hint="eastAsia" w:ascii="宋体" w:hAnsi="宋体" w:cs="宋体"/>
                <w:color w:val="000000"/>
                <w:kern w:val="0"/>
                <w:sz w:val="18"/>
                <w:szCs w:val="18"/>
              </w:rPr>
              <w:t>供应链管理系统</w:t>
            </w:r>
          </w:p>
          <w:p>
            <w:pPr>
              <w:widowControl/>
              <w:rPr>
                <w:rFonts w:ascii="宋体" w:hAnsi="宋体" w:cs="宋体"/>
                <w:color w:val="000000"/>
                <w:kern w:val="0"/>
                <w:sz w:val="18"/>
                <w:szCs w:val="18"/>
              </w:rPr>
            </w:pPr>
            <w:r>
              <w:rPr>
                <w:rFonts w:hint="eastAsia" w:ascii="宋体" w:hAnsi="宋体" w:cs="宋体"/>
                <w:color w:val="000000"/>
                <w:kern w:val="0"/>
                <w:sz w:val="18"/>
                <w:szCs w:val="18"/>
              </w:rPr>
              <w:t>供应商管理系统</w:t>
            </w:r>
          </w:p>
          <w:p>
            <w:pPr>
              <w:widowControl/>
              <w:rPr>
                <w:rFonts w:ascii="宋体" w:hAnsi="宋体" w:cs="宋体"/>
                <w:color w:val="000000"/>
                <w:kern w:val="0"/>
                <w:sz w:val="18"/>
                <w:szCs w:val="18"/>
              </w:rPr>
            </w:pPr>
            <w:r>
              <w:rPr>
                <w:rFonts w:hint="eastAsia" w:ascii="宋体" w:hAnsi="宋体" w:cs="宋体"/>
                <w:color w:val="000000"/>
                <w:kern w:val="0"/>
                <w:sz w:val="18"/>
                <w:szCs w:val="18"/>
              </w:rPr>
              <w:t>仓储物流管理系统</w:t>
            </w:r>
          </w:p>
          <w:p>
            <w:pPr>
              <w:widowControl/>
              <w:rPr>
                <w:rFonts w:ascii="宋体" w:hAnsi="宋体" w:cs="宋体"/>
                <w:color w:val="000000"/>
                <w:kern w:val="0"/>
                <w:sz w:val="18"/>
                <w:szCs w:val="18"/>
              </w:rPr>
            </w:pPr>
            <w:r>
              <w:rPr>
                <w:rFonts w:hint="eastAsia" w:ascii="宋体" w:hAnsi="宋体" w:cs="宋体"/>
                <w:color w:val="000000"/>
                <w:kern w:val="0"/>
                <w:sz w:val="18"/>
                <w:szCs w:val="18"/>
              </w:rPr>
              <w:t>客服管理系统</w:t>
            </w:r>
          </w:p>
          <w:p>
            <w:pPr>
              <w:widowControl/>
              <w:rPr>
                <w:rFonts w:ascii="宋体" w:hAnsi="宋体" w:cs="宋体"/>
                <w:color w:val="000000"/>
                <w:kern w:val="0"/>
                <w:sz w:val="18"/>
                <w:szCs w:val="18"/>
              </w:rPr>
            </w:pPr>
            <w:r>
              <w:rPr>
                <w:rFonts w:hint="eastAsia" w:ascii="宋体" w:hAnsi="宋体" w:cs="宋体"/>
                <w:color w:val="000000"/>
                <w:kern w:val="0"/>
                <w:sz w:val="18"/>
                <w:szCs w:val="18"/>
              </w:rPr>
              <w:t>家装BIM设计系统</w:t>
            </w:r>
          </w:p>
          <w:p>
            <w:pPr>
              <w:widowControl/>
              <w:rPr>
                <w:rFonts w:ascii="宋体" w:hAnsi="宋体" w:cs="宋体"/>
                <w:color w:val="000000"/>
                <w:kern w:val="0"/>
                <w:sz w:val="18"/>
                <w:szCs w:val="18"/>
              </w:rPr>
            </w:pPr>
            <w:r>
              <w:rPr>
                <w:rFonts w:hint="eastAsia" w:ascii="宋体" w:hAnsi="宋体" w:cs="宋体"/>
                <w:color w:val="000000"/>
                <w:kern w:val="0"/>
                <w:sz w:val="18"/>
                <w:szCs w:val="18"/>
              </w:rPr>
              <w:t>3D家装设计系统</w:t>
            </w:r>
          </w:p>
          <w:p>
            <w:pPr>
              <w:widowControl/>
              <w:rPr>
                <w:rFonts w:ascii="宋体" w:hAnsi="宋体" w:cs="宋体"/>
                <w:color w:val="000000"/>
                <w:kern w:val="0"/>
                <w:sz w:val="18"/>
                <w:szCs w:val="18"/>
              </w:rPr>
            </w:pPr>
            <w:r>
              <w:rPr>
                <w:rFonts w:hint="eastAsia" w:ascii="宋体" w:hAnsi="宋体" w:cs="宋体"/>
                <w:color w:val="000000"/>
                <w:kern w:val="0"/>
                <w:sz w:val="18"/>
                <w:szCs w:val="18"/>
              </w:rPr>
              <w:t>3D木作设计系统</w:t>
            </w:r>
          </w:p>
          <w:p>
            <w:pPr>
              <w:widowControl/>
              <w:rPr>
                <w:rFonts w:ascii="宋体" w:hAnsi="宋体" w:cs="宋体"/>
                <w:color w:val="000000"/>
                <w:kern w:val="0"/>
                <w:sz w:val="18"/>
                <w:szCs w:val="18"/>
              </w:rPr>
            </w:pPr>
            <w:r>
              <w:rPr>
                <w:rFonts w:hint="eastAsia" w:ascii="宋体" w:hAnsi="宋体" w:cs="宋体"/>
                <w:color w:val="000000"/>
                <w:kern w:val="0"/>
                <w:sz w:val="18"/>
                <w:szCs w:val="18"/>
              </w:rPr>
              <w:t>在线客服与呼叫中心系统</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标准</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1186"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已全部建立/使用，且系统完善</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100</w:t>
            </w:r>
          </w:p>
        </w:tc>
      </w:tr>
      <w:tr>
        <w:tblPrEx>
          <w:tblCellMar>
            <w:top w:w="0" w:type="dxa"/>
            <w:left w:w="108" w:type="dxa"/>
            <w:bottom w:w="0" w:type="dxa"/>
            <w:right w:w="108" w:type="dxa"/>
          </w:tblCellMar>
        </w:tblPrEx>
        <w:trPr>
          <w:trHeight w:val="1398"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基本建立/使用，且系统较为健全</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Arial Unicode MS"/>
                <w:color w:val="000000"/>
                <w:kern w:val="0"/>
                <w:sz w:val="18"/>
                <w:szCs w:val="18"/>
              </w:rPr>
            </w:pPr>
            <w:r>
              <w:rPr>
                <w:rFonts w:ascii="宋体" w:hAnsi="宋体" w:cs="Arial Unicode MS"/>
                <w:color w:val="000000"/>
                <w:kern w:val="0"/>
                <w:sz w:val="18"/>
                <w:szCs w:val="18"/>
              </w:rPr>
              <w:t>60</w:t>
            </w:r>
          </w:p>
        </w:tc>
      </w:tr>
      <w:tr>
        <w:tblPrEx>
          <w:tblCellMar>
            <w:top w:w="0" w:type="dxa"/>
            <w:left w:w="108" w:type="dxa"/>
            <w:bottom w:w="0" w:type="dxa"/>
            <w:right w:w="108" w:type="dxa"/>
          </w:tblCellMar>
        </w:tblPrEx>
        <w:trPr>
          <w:trHeight w:val="1265"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仅建立/使用少部分，或系统健全程度较低</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Arial Unicode MS"/>
                <w:color w:val="000000"/>
                <w:kern w:val="0"/>
                <w:sz w:val="18"/>
                <w:szCs w:val="18"/>
              </w:rPr>
            </w:pPr>
            <w:r>
              <w:rPr>
                <w:rFonts w:hint="eastAsia" w:ascii="宋体" w:hAnsi="宋体" w:cs="Arial Unicode MS"/>
                <w:color w:val="000000"/>
                <w:kern w:val="0"/>
                <w:sz w:val="18"/>
                <w:szCs w:val="18"/>
              </w:rPr>
              <w:t>3</w:t>
            </w:r>
            <w:r>
              <w:rPr>
                <w:rFonts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未建立/使用</w:t>
            </w:r>
          </w:p>
        </w:tc>
        <w:tc>
          <w:tcPr>
            <w:tcW w:w="1275" w:type="dxa"/>
            <w:tcBorders>
              <w:top w:val="nil"/>
              <w:left w:val="nil"/>
              <w:bottom w:val="single" w:color="auto" w:sz="4" w:space="0"/>
              <w:right w:val="single" w:color="auto" w:sz="4" w:space="0"/>
            </w:tcBorders>
            <w:shd w:val="clear" w:color="auto" w:fill="auto"/>
            <w:vAlign w:val="center"/>
          </w:tcPr>
          <w:p>
            <w:pPr>
              <w:jc w:val="center"/>
              <w:rPr>
                <w:rFonts w:ascii="宋体" w:hAnsi="宋体" w:cs="Arial Unicode MS"/>
                <w:color w:val="000000"/>
                <w:kern w:val="0"/>
                <w:sz w:val="18"/>
                <w:szCs w:val="18"/>
              </w:rPr>
            </w:pPr>
            <w:r>
              <w:rPr>
                <w:rFonts w:ascii="宋体" w:hAnsi="宋体" w:cs="Arial Unicode MS"/>
                <w:color w:val="000000"/>
                <w:kern w:val="0"/>
                <w:sz w:val="18"/>
                <w:szCs w:val="18"/>
              </w:rPr>
              <w:t>0</w:t>
            </w:r>
          </w:p>
        </w:tc>
      </w:tr>
      <w:tr>
        <w:tblPrEx>
          <w:tblCellMar>
            <w:top w:w="0" w:type="dxa"/>
            <w:left w:w="108" w:type="dxa"/>
            <w:bottom w:w="0" w:type="dxa"/>
            <w:right w:w="108" w:type="dxa"/>
          </w:tblCellMar>
        </w:tblPrEx>
        <w:trPr>
          <w:trHeight w:val="292"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信息化集成程度</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p>
        </w:tc>
        <w:tc>
          <w:tcPr>
            <w:tcW w:w="2835"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考核受评企业信息化系统集成程度，是否形成一体化管控能力，同一客户、同一订单相关数据是否能够有效整合。</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标准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信息化集成程度高</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jc w:val="center"/>
              <w:rPr>
                <w:szCs w:val="24"/>
              </w:rPr>
            </w:pPr>
            <w:r>
              <w:rPr>
                <w:rFonts w:hint="eastAsia" w:ascii="宋体" w:hAnsi="宋体" w:cs="Arial Unicode MS"/>
                <w:color w:val="000000"/>
                <w:kern w:val="0"/>
                <w:sz w:val="18"/>
                <w:szCs w:val="18"/>
              </w:rPr>
              <w:t>信息化集成程度中等</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jc w:val="center"/>
              <w:rPr>
                <w:szCs w:val="24"/>
              </w:rPr>
            </w:pPr>
            <w:r>
              <w:rPr>
                <w:rFonts w:hint="eastAsia" w:ascii="宋体" w:hAnsi="宋体" w:cs="Arial Unicode MS"/>
                <w:color w:val="000000"/>
                <w:kern w:val="0"/>
                <w:sz w:val="18"/>
                <w:szCs w:val="18"/>
              </w:rPr>
              <w:t>信息化集成程度低</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信息安全</w:t>
            </w:r>
          </w:p>
        </w:tc>
        <w:tc>
          <w:tcPr>
            <w:tcW w:w="851" w:type="dxa"/>
            <w:vMerge w:val="restart"/>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w:t>
            </w:r>
          </w:p>
        </w:tc>
        <w:tc>
          <w:tcPr>
            <w:tcW w:w="2835" w:type="dxa"/>
            <w:vMerge w:val="restart"/>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考核受评企业信息安全管理水平，是否能够有效保障客户信息安全：</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1.是否有数据备份，有效防止非法侵入及病毒；</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2.是否有相应的网络安全设备；</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3.针对信息安全是否有第三方安全机构的安全评估报告</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标准</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647"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信息安全管理体系建设完善</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698"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left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jc w:val="center"/>
              <w:rPr>
                <w:szCs w:val="24"/>
              </w:rPr>
            </w:pPr>
            <w:r>
              <w:rPr>
                <w:rFonts w:hint="eastAsia" w:ascii="宋体" w:hAnsi="宋体" w:cs="Arial Unicode MS"/>
                <w:color w:val="000000"/>
                <w:kern w:val="0"/>
                <w:sz w:val="18"/>
                <w:szCs w:val="18"/>
              </w:rPr>
              <w:t>信息安全管理体系基本建立但不完善</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vAlign w:val="center"/>
          </w:tcPr>
          <w:p>
            <w:pPr>
              <w:jc w:val="center"/>
              <w:rPr>
                <w:szCs w:val="24"/>
              </w:rPr>
            </w:pPr>
            <w:r>
              <w:rPr>
                <w:rFonts w:hint="eastAsia" w:ascii="宋体" w:hAnsi="宋体" w:cs="Arial Unicode MS"/>
                <w:color w:val="000000"/>
                <w:kern w:val="0"/>
                <w:sz w:val="18"/>
                <w:szCs w:val="18"/>
              </w:rPr>
              <w:t>信息安全管理体系建设水平较低</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应付账款账龄</w:t>
            </w:r>
          </w:p>
        </w:tc>
        <w:tc>
          <w:tcPr>
            <w:tcW w:w="85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p>
        </w:tc>
        <w:tc>
          <w:tcPr>
            <w:tcW w:w="2835" w:type="dxa"/>
            <w:vMerge w:val="restart"/>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通过近一年期末受评企业账龄小于1年的应付账款占比考核企业对上游材料商的支付信用（账龄小于1年的应付账款余额/应付账款余额）。</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cs="宋体"/>
                <w:color w:val="000000"/>
                <w:kern w:val="0"/>
                <w:sz w:val="18"/>
                <w:szCs w:val="18"/>
              </w:rPr>
            </w:pPr>
            <w:r>
              <w:rPr>
                <w:rFonts w:hint="eastAsia" w:ascii="宋体" w:hAnsi="宋体" w:cs="宋体"/>
                <w:b/>
                <w:bCs/>
                <w:color w:val="000000"/>
                <w:kern w:val="0"/>
                <w:sz w:val="18"/>
                <w:szCs w:val="18"/>
              </w:rPr>
              <w:t>占比（%）</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90</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[80,90)</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75</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[70,80)</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70</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25</w:t>
            </w:r>
          </w:p>
        </w:tc>
      </w:tr>
      <w:tr>
        <w:tblPrEx>
          <w:tblCellMar>
            <w:top w:w="0" w:type="dxa"/>
            <w:left w:w="108" w:type="dxa"/>
            <w:bottom w:w="0" w:type="dxa"/>
            <w:right w:w="108" w:type="dxa"/>
          </w:tblCellMar>
        </w:tblPrEx>
        <w:trPr>
          <w:trHeight w:val="227"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应收账款账龄</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p>
        </w:tc>
        <w:tc>
          <w:tcPr>
            <w:tcW w:w="2835"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通过近一年期末受评企业账龄小于1年的应收账款占比考核企业回收款项的能力（账龄小于1年的应收账款余额/应收账款余额）。</w:t>
            </w:r>
          </w:p>
        </w:tc>
        <w:tc>
          <w:tcPr>
            <w:tcW w:w="18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占比（%）</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90</w:t>
            </w:r>
          </w:p>
        </w:tc>
        <w:tc>
          <w:tcPr>
            <w:tcW w:w="1275"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[80,90)</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75</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[70,80)</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w:t>
            </w:r>
          </w:p>
        </w:tc>
      </w:tr>
      <w:tr>
        <w:tblPrEx>
          <w:tblCellMar>
            <w:top w:w="0" w:type="dxa"/>
            <w:left w:w="108" w:type="dxa"/>
            <w:bottom w:w="0" w:type="dxa"/>
            <w:right w:w="108" w:type="dxa"/>
          </w:tblCellMar>
        </w:tblPrEx>
        <w:trPr>
          <w:trHeight w:val="20" w:hRule="atLeast"/>
        </w:trPr>
        <w:tc>
          <w:tcPr>
            <w:tcW w:w="993"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28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color w:val="000000"/>
                <w:kern w:val="0"/>
                <w:sz w:val="18"/>
                <w:szCs w:val="18"/>
              </w:rPr>
            </w:pPr>
          </w:p>
        </w:tc>
        <w:tc>
          <w:tcPr>
            <w:tcW w:w="1843"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w:t>
            </w:r>
            <w:r>
              <w:rPr>
                <w:rFonts w:ascii="宋体" w:hAnsi="宋体" w:cs="Arial Unicode MS"/>
                <w:color w:val="000000"/>
                <w:kern w:val="0"/>
                <w:sz w:val="18"/>
                <w:szCs w:val="18"/>
              </w:rPr>
              <w:t>70</w:t>
            </w:r>
          </w:p>
        </w:tc>
        <w:tc>
          <w:tcPr>
            <w:tcW w:w="1275"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25</w:t>
            </w:r>
          </w:p>
        </w:tc>
      </w:tr>
    </w:tbl>
    <w:p>
      <w:pPr>
        <w:spacing w:line="600" w:lineRule="exact"/>
        <w:ind w:left="-849" w:leftChars="-405" w:hanging="1"/>
        <w:jc w:val="left"/>
        <w:outlineLvl w:val="0"/>
        <w:rPr>
          <w:rFonts w:ascii="仿宋_GB2312" w:hAnsi="宋体" w:eastAsia="仿宋_GB2312"/>
          <w:b/>
          <w:color w:val="000000"/>
          <w:sz w:val="22"/>
          <w:szCs w:val="30"/>
        </w:rPr>
      </w:pPr>
      <w:bookmarkStart w:id="51" w:name="_Toc24371159"/>
      <w:bookmarkStart w:id="52" w:name="_Toc24028250"/>
      <w:r>
        <w:rPr>
          <w:rFonts w:hint="eastAsia" w:ascii="仿宋_GB2312" w:hAnsi="宋体" w:eastAsia="仿宋_GB2312"/>
          <w:b/>
          <w:color w:val="000000"/>
          <w:sz w:val="22"/>
          <w:szCs w:val="30"/>
        </w:rPr>
        <w:t>三、企业财务实力</w:t>
      </w:r>
      <w:bookmarkEnd w:id="51"/>
      <w:bookmarkEnd w:id="52"/>
    </w:p>
    <w:p>
      <w:pPr>
        <w:spacing w:line="360" w:lineRule="auto"/>
        <w:ind w:left="-850" w:leftChars="-405" w:right="-710" w:rightChars="-338" w:firstLine="420" w:firstLineChars="200"/>
        <w:rPr>
          <w:color w:val="000000"/>
          <w:szCs w:val="24"/>
        </w:rPr>
      </w:pPr>
      <w:r>
        <w:rPr>
          <w:rFonts w:hint="eastAsia"/>
          <w:color w:val="000000"/>
          <w:szCs w:val="24"/>
        </w:rPr>
        <w:t>财务实力采用信构风险计量模型，综合评估企业发展能力、企业经营稳定性、企业发展潜力及企业偿付能力，权重为</w:t>
      </w:r>
      <w:r>
        <w:rPr>
          <w:color w:val="000000"/>
          <w:szCs w:val="24"/>
        </w:rPr>
        <w:t>30</w:t>
      </w:r>
      <w:r>
        <w:rPr>
          <w:rFonts w:hint="eastAsia"/>
          <w:color w:val="000000"/>
          <w:szCs w:val="24"/>
        </w:rPr>
        <w:t>%。</w:t>
      </w:r>
    </w:p>
    <w:tbl>
      <w:tblPr>
        <w:tblStyle w:val="19"/>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4"/>
        <w:gridCol w:w="736"/>
        <w:gridCol w:w="1515"/>
        <w:gridCol w:w="891"/>
        <w:gridCol w:w="5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2030" w:type="dxa"/>
            <w:gridSpan w:val="2"/>
            <w:shd w:val="clear" w:color="auto" w:fill="EEECE1"/>
            <w:noWrap/>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一级指标</w:t>
            </w:r>
          </w:p>
        </w:tc>
        <w:tc>
          <w:tcPr>
            <w:tcW w:w="2406" w:type="dxa"/>
            <w:gridSpan w:val="2"/>
            <w:shd w:val="clear" w:color="auto" w:fill="EEECE1"/>
            <w:noWrap/>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二级指标</w:t>
            </w:r>
          </w:p>
        </w:tc>
        <w:tc>
          <w:tcPr>
            <w:tcW w:w="5487" w:type="dxa"/>
            <w:vMerge w:val="restart"/>
            <w:shd w:val="clear" w:color="auto" w:fill="EEECE1"/>
            <w:noWrap/>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评价标准及评价方法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4" w:type="dxa"/>
            <w:shd w:val="clear" w:color="auto" w:fill="EEECE1"/>
            <w:noWrap/>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指标名称</w:t>
            </w:r>
          </w:p>
        </w:tc>
        <w:tc>
          <w:tcPr>
            <w:tcW w:w="736" w:type="dxa"/>
            <w:shd w:val="clear" w:color="auto" w:fill="EEECE1"/>
            <w:noWrap/>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权重</w:t>
            </w:r>
          </w:p>
        </w:tc>
        <w:tc>
          <w:tcPr>
            <w:tcW w:w="1515" w:type="dxa"/>
            <w:shd w:val="clear" w:color="auto" w:fill="EEECE1"/>
            <w:noWrap/>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指标名称</w:t>
            </w:r>
          </w:p>
        </w:tc>
        <w:tc>
          <w:tcPr>
            <w:tcW w:w="891" w:type="dxa"/>
            <w:shd w:val="clear" w:color="auto" w:fill="EEECE1"/>
            <w:noWrap/>
            <w:vAlign w:val="center"/>
          </w:tcPr>
          <w:p>
            <w:pPr>
              <w:widowControl/>
              <w:jc w:val="center"/>
              <w:rPr>
                <w:rFonts w:ascii="宋体" w:hAnsi="宋体" w:cs="宋体"/>
                <w:b/>
                <w:color w:val="000000"/>
                <w:kern w:val="0"/>
                <w:sz w:val="18"/>
                <w:szCs w:val="18"/>
              </w:rPr>
            </w:pPr>
            <w:r>
              <w:rPr>
                <w:rFonts w:hint="eastAsia" w:ascii="宋体" w:hAnsi="宋体" w:cs="宋体"/>
                <w:b/>
                <w:color w:val="000000"/>
                <w:kern w:val="0"/>
                <w:sz w:val="18"/>
                <w:szCs w:val="18"/>
              </w:rPr>
              <w:t>权重</w:t>
            </w:r>
          </w:p>
        </w:tc>
        <w:tc>
          <w:tcPr>
            <w:tcW w:w="5487" w:type="dxa"/>
            <w:vMerge w:val="continue"/>
            <w:vAlign w:val="center"/>
          </w:tcPr>
          <w:p>
            <w:pPr>
              <w:widowControl/>
              <w:jc w:val="left"/>
              <w:rPr>
                <w:rFonts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4" w:type="dxa"/>
            <w:vMerge w:val="restart"/>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财务实力</w:t>
            </w:r>
          </w:p>
        </w:tc>
        <w:tc>
          <w:tcPr>
            <w:tcW w:w="736" w:type="dxa"/>
            <w:vMerge w:val="restart"/>
            <w:shd w:val="clear" w:color="auto" w:fill="auto"/>
            <w:noWrap/>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r>
              <w:rPr>
                <w:rFonts w:hint="eastAsia" w:ascii="宋体" w:hAnsi="宋体" w:cs="宋体"/>
                <w:color w:val="000000"/>
                <w:kern w:val="0"/>
                <w:sz w:val="18"/>
                <w:szCs w:val="18"/>
              </w:rPr>
              <w:t>%</w:t>
            </w:r>
          </w:p>
        </w:tc>
        <w:tc>
          <w:tcPr>
            <w:tcW w:w="1515"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发展能力</w:t>
            </w:r>
          </w:p>
        </w:tc>
        <w:tc>
          <w:tcPr>
            <w:tcW w:w="891"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8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对受评企业资产规模特别是权益资本规模的波动情况、主营业务的增长水平情况、负债总额与负债结构变化情况及可支配收益增长情况等综合指标分析做出的受评企业发展能力水平的判断。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4" w:type="dxa"/>
            <w:vMerge w:val="continue"/>
            <w:vAlign w:val="center"/>
          </w:tcPr>
          <w:p>
            <w:pPr>
              <w:widowControl/>
              <w:jc w:val="center"/>
              <w:rPr>
                <w:rFonts w:ascii="宋体" w:hAnsi="宋体" w:cs="宋体"/>
                <w:color w:val="000000"/>
                <w:kern w:val="0"/>
                <w:sz w:val="18"/>
                <w:szCs w:val="18"/>
              </w:rPr>
            </w:pPr>
          </w:p>
        </w:tc>
        <w:tc>
          <w:tcPr>
            <w:tcW w:w="736" w:type="dxa"/>
            <w:vMerge w:val="continue"/>
            <w:vAlign w:val="center"/>
          </w:tcPr>
          <w:p>
            <w:pPr>
              <w:widowControl/>
              <w:jc w:val="center"/>
              <w:rPr>
                <w:rFonts w:ascii="宋体" w:hAnsi="宋体" w:cs="宋体"/>
                <w:color w:val="000000"/>
                <w:kern w:val="0"/>
                <w:sz w:val="18"/>
                <w:szCs w:val="18"/>
              </w:rPr>
            </w:pPr>
          </w:p>
        </w:tc>
        <w:tc>
          <w:tcPr>
            <w:tcW w:w="1515"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经营稳定性</w:t>
            </w:r>
          </w:p>
        </w:tc>
        <w:tc>
          <w:tcPr>
            <w:tcW w:w="891"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8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对受评企业综合运营效率指标及受评企对经营环境变化的控制能力等综合指标分析做出的受评企业经营稳定性的判断。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4" w:type="dxa"/>
            <w:vMerge w:val="continue"/>
            <w:vAlign w:val="center"/>
          </w:tcPr>
          <w:p>
            <w:pPr>
              <w:widowControl/>
              <w:jc w:val="center"/>
              <w:rPr>
                <w:rFonts w:ascii="宋体" w:hAnsi="宋体" w:cs="宋体"/>
                <w:color w:val="000000"/>
                <w:kern w:val="0"/>
                <w:sz w:val="18"/>
                <w:szCs w:val="18"/>
              </w:rPr>
            </w:pPr>
          </w:p>
        </w:tc>
        <w:tc>
          <w:tcPr>
            <w:tcW w:w="736" w:type="dxa"/>
            <w:vMerge w:val="continue"/>
            <w:vAlign w:val="center"/>
          </w:tcPr>
          <w:p>
            <w:pPr>
              <w:widowControl/>
              <w:jc w:val="center"/>
              <w:rPr>
                <w:rFonts w:ascii="宋体" w:hAnsi="宋体" w:cs="宋体"/>
                <w:color w:val="000000"/>
                <w:kern w:val="0"/>
                <w:sz w:val="18"/>
                <w:szCs w:val="18"/>
              </w:rPr>
            </w:pPr>
          </w:p>
        </w:tc>
        <w:tc>
          <w:tcPr>
            <w:tcW w:w="1515"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发展潜力</w:t>
            </w:r>
          </w:p>
        </w:tc>
        <w:tc>
          <w:tcPr>
            <w:tcW w:w="891"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8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w:t>
            </w:r>
            <w:bookmarkStart w:id="53" w:name="_Hlk20387892"/>
            <w:r>
              <w:rPr>
                <w:rFonts w:hint="eastAsia" w:ascii="宋体" w:hAnsi="宋体" w:cs="宋体"/>
                <w:color w:val="000000"/>
                <w:kern w:val="0"/>
                <w:sz w:val="18"/>
                <w:szCs w:val="18"/>
              </w:rPr>
              <w:t>受评企业总资产及净资产收益能力、主营业务收益能力、对外部供给冲击响应能力等综合指标分析做出的受评企业发展潜力的判断</w:t>
            </w:r>
            <w:bookmarkEnd w:id="53"/>
            <w:r>
              <w:rPr>
                <w:rFonts w:hint="eastAsia" w:ascii="宋体" w:hAnsi="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1294" w:type="dxa"/>
            <w:vMerge w:val="continue"/>
            <w:vAlign w:val="center"/>
          </w:tcPr>
          <w:p>
            <w:pPr>
              <w:widowControl/>
              <w:jc w:val="center"/>
              <w:rPr>
                <w:rFonts w:ascii="宋体" w:hAnsi="宋体" w:cs="宋体"/>
                <w:color w:val="000000"/>
                <w:kern w:val="0"/>
                <w:sz w:val="18"/>
                <w:szCs w:val="18"/>
              </w:rPr>
            </w:pPr>
          </w:p>
        </w:tc>
        <w:tc>
          <w:tcPr>
            <w:tcW w:w="736" w:type="dxa"/>
            <w:vMerge w:val="continue"/>
            <w:vAlign w:val="center"/>
          </w:tcPr>
          <w:p>
            <w:pPr>
              <w:widowControl/>
              <w:jc w:val="center"/>
              <w:rPr>
                <w:rFonts w:ascii="宋体" w:hAnsi="宋体" w:cs="宋体"/>
                <w:color w:val="000000"/>
                <w:kern w:val="0"/>
                <w:sz w:val="18"/>
                <w:szCs w:val="18"/>
              </w:rPr>
            </w:pPr>
          </w:p>
        </w:tc>
        <w:tc>
          <w:tcPr>
            <w:tcW w:w="1515"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偿付能力</w:t>
            </w:r>
          </w:p>
        </w:tc>
        <w:tc>
          <w:tcPr>
            <w:tcW w:w="891" w:type="dxa"/>
            <w:shd w:val="clear" w:color="auto" w:fill="auto"/>
            <w:noWrap/>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w:t>
            </w:r>
          </w:p>
        </w:tc>
        <w:tc>
          <w:tcPr>
            <w:tcW w:w="5487" w:type="dxa"/>
            <w:shd w:val="clear" w:color="auto" w:fill="auto"/>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对受评企业负债类型与负债结构、现金充足程度及其他偿付能力等综合指标分析做出的受评企业偿付能力的判断。</w:t>
            </w:r>
          </w:p>
        </w:tc>
      </w:tr>
    </w:tbl>
    <w:p>
      <w:pPr>
        <w:spacing w:line="600" w:lineRule="exact"/>
        <w:ind w:left="-849" w:leftChars="-405" w:hanging="1"/>
        <w:jc w:val="left"/>
        <w:outlineLvl w:val="0"/>
        <w:rPr>
          <w:rFonts w:ascii="仿宋_GB2312" w:hAnsi="宋体" w:eastAsia="仿宋_GB2312"/>
          <w:b/>
          <w:color w:val="000000"/>
          <w:sz w:val="22"/>
          <w:szCs w:val="30"/>
        </w:rPr>
      </w:pPr>
      <w:bookmarkStart w:id="54" w:name="_Toc24371160"/>
      <w:bookmarkStart w:id="55" w:name="_Toc24028251"/>
      <w:r>
        <w:rPr>
          <w:rFonts w:hint="eastAsia" w:ascii="仿宋_GB2312" w:hAnsi="宋体" w:eastAsia="仿宋_GB2312"/>
          <w:b/>
          <w:color w:val="000000"/>
          <w:sz w:val="22"/>
          <w:szCs w:val="30"/>
        </w:rPr>
        <w:t>四、公共信用记录</w:t>
      </w:r>
      <w:bookmarkEnd w:id="54"/>
      <w:bookmarkEnd w:id="55"/>
    </w:p>
    <w:p>
      <w:pPr>
        <w:spacing w:line="360" w:lineRule="auto"/>
        <w:ind w:left="-850" w:leftChars="-405" w:right="-710" w:rightChars="-338" w:firstLine="420" w:firstLineChars="200"/>
        <w:rPr>
          <w:color w:val="000000"/>
          <w:szCs w:val="24"/>
        </w:rPr>
      </w:pPr>
      <w:r>
        <w:rPr>
          <w:rFonts w:hint="eastAsia"/>
          <w:color w:val="000000"/>
          <w:szCs w:val="24"/>
        </w:rPr>
        <w:t>公共信用记录包括纳税记录、行政处罚记录、被执行人记录、经营异常记录、奖励信息、公众监督、社会公益等，权重为</w:t>
      </w:r>
      <w:r>
        <w:rPr>
          <w:color w:val="000000"/>
          <w:szCs w:val="24"/>
        </w:rPr>
        <w:t>30</w:t>
      </w:r>
      <w:r>
        <w:rPr>
          <w:rFonts w:hint="eastAsia"/>
          <w:color w:val="000000"/>
          <w:szCs w:val="24"/>
        </w:rPr>
        <w:t>%。</w:t>
      </w:r>
    </w:p>
    <w:tbl>
      <w:tblPr>
        <w:tblStyle w:val="19"/>
        <w:tblW w:w="9923" w:type="dxa"/>
        <w:tblInd w:w="-743" w:type="dxa"/>
        <w:tblLayout w:type="autofit"/>
        <w:tblCellMar>
          <w:top w:w="0" w:type="dxa"/>
          <w:left w:w="108" w:type="dxa"/>
          <w:bottom w:w="0" w:type="dxa"/>
          <w:right w:w="108" w:type="dxa"/>
        </w:tblCellMar>
      </w:tblPr>
      <w:tblGrid>
        <w:gridCol w:w="993"/>
        <w:gridCol w:w="992"/>
        <w:gridCol w:w="1134"/>
        <w:gridCol w:w="993"/>
        <w:gridCol w:w="2693"/>
        <w:gridCol w:w="1984"/>
        <w:gridCol w:w="1134"/>
      </w:tblGrid>
      <w:tr>
        <w:tblPrEx>
          <w:tblCellMar>
            <w:top w:w="0" w:type="dxa"/>
            <w:left w:w="108" w:type="dxa"/>
            <w:bottom w:w="0" w:type="dxa"/>
            <w:right w:w="108" w:type="dxa"/>
          </w:tblCellMar>
        </w:tblPrEx>
        <w:trPr>
          <w:trHeight w:val="20" w:hRule="atLeast"/>
        </w:trPr>
        <w:tc>
          <w:tcPr>
            <w:tcW w:w="1985" w:type="dxa"/>
            <w:gridSpan w:val="2"/>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一级指标</w:t>
            </w:r>
          </w:p>
        </w:tc>
        <w:tc>
          <w:tcPr>
            <w:tcW w:w="2127" w:type="dxa"/>
            <w:gridSpan w:val="2"/>
            <w:tcBorders>
              <w:top w:val="single" w:color="auto" w:sz="4" w:space="0"/>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二级指标</w:t>
            </w:r>
          </w:p>
        </w:tc>
        <w:tc>
          <w:tcPr>
            <w:tcW w:w="2693" w:type="dxa"/>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指标说明</w:t>
            </w:r>
          </w:p>
        </w:tc>
        <w:tc>
          <w:tcPr>
            <w:tcW w:w="3118" w:type="dxa"/>
            <w:gridSpan w:val="2"/>
            <w:vMerge w:val="restart"/>
            <w:tcBorders>
              <w:top w:val="single" w:color="auto" w:sz="4" w:space="0"/>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评价标准和得分</w:t>
            </w:r>
          </w:p>
        </w:tc>
      </w:tr>
      <w:tr>
        <w:tblPrEx>
          <w:tblCellMar>
            <w:top w:w="0" w:type="dxa"/>
            <w:left w:w="108" w:type="dxa"/>
            <w:bottom w:w="0" w:type="dxa"/>
            <w:right w:w="108" w:type="dxa"/>
          </w:tblCellMar>
        </w:tblPrEx>
        <w:trPr>
          <w:trHeight w:val="20" w:hRule="atLeast"/>
        </w:trPr>
        <w:tc>
          <w:tcPr>
            <w:tcW w:w="993" w:type="dxa"/>
            <w:tcBorders>
              <w:top w:val="nil"/>
              <w:left w:val="single" w:color="auto" w:sz="4" w:space="0"/>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992"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1134"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指标名称</w:t>
            </w:r>
          </w:p>
        </w:tc>
        <w:tc>
          <w:tcPr>
            <w:tcW w:w="993" w:type="dxa"/>
            <w:tcBorders>
              <w:top w:val="nil"/>
              <w:left w:val="nil"/>
              <w:bottom w:val="single" w:color="auto" w:sz="4" w:space="0"/>
              <w:right w:val="single" w:color="auto" w:sz="4" w:space="0"/>
            </w:tcBorders>
            <w:shd w:val="clear" w:color="000000" w:fill="EEECE1"/>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权重</w:t>
            </w: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c>
          <w:tcPr>
            <w:tcW w:w="31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0" w:hRule="atLeast"/>
        </w:trPr>
        <w:tc>
          <w:tcPr>
            <w:tcW w:w="99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公共信用</w:t>
            </w:r>
          </w:p>
        </w:tc>
        <w:tc>
          <w:tcPr>
            <w:tcW w:w="992"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30</w:t>
            </w:r>
            <w:r>
              <w:rPr>
                <w:rFonts w:hint="eastAsia" w:ascii="宋体" w:hAnsi="宋体" w:cs="宋体"/>
                <w:color w:val="000000"/>
                <w:kern w:val="0"/>
                <w:sz w:val="18"/>
                <w:szCs w:val="18"/>
              </w:rPr>
              <w:t>%</w:t>
            </w: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纳税记录</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企业近三年是否存在欠税记录。</w:t>
            </w: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近三年欠税记录</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不存在</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存在</w:t>
            </w:r>
          </w:p>
        </w:tc>
        <w:tc>
          <w:tcPr>
            <w:tcW w:w="1134" w:type="dxa"/>
            <w:tcBorders>
              <w:top w:val="nil"/>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0</w:t>
            </w:r>
          </w:p>
        </w:tc>
      </w:tr>
      <w:tr>
        <w:tblPrEx>
          <w:tblCellMar>
            <w:top w:w="0" w:type="dxa"/>
            <w:left w:w="108" w:type="dxa"/>
            <w:bottom w:w="0" w:type="dxa"/>
            <w:right w:w="108" w:type="dxa"/>
          </w:tblCellMar>
        </w:tblPrEx>
        <w:trPr>
          <w:trHeight w:val="932"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行政处罚记录</w:t>
            </w:r>
          </w:p>
        </w:tc>
        <w:tc>
          <w:tcPr>
            <w:tcW w:w="993" w:type="dxa"/>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w:t>
            </w:r>
          </w:p>
        </w:tc>
        <w:tc>
          <w:tcPr>
            <w:tcW w:w="2693" w:type="dxa"/>
            <w:tcBorders>
              <w:top w:val="nil"/>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近三年企业受到政府监管部门的行政处罚信息。</w:t>
            </w:r>
          </w:p>
        </w:tc>
        <w:tc>
          <w:tcPr>
            <w:tcW w:w="3118" w:type="dxa"/>
            <w:gridSpan w:val="2"/>
            <w:tcBorders>
              <w:top w:val="nil"/>
              <w:left w:val="nil"/>
              <w:right w:val="single" w:color="auto" w:sz="4" w:space="0"/>
            </w:tcBorders>
            <w:shd w:val="clear" w:color="auto" w:fill="auto"/>
            <w:vAlign w:val="center"/>
          </w:tcPr>
          <w:p>
            <w:pPr>
              <w:widowControl/>
              <w:jc w:val="left"/>
              <w:rPr>
                <w:rFonts w:ascii="宋体" w:hAnsi="宋体" w:cs="Arial Unicode MS"/>
                <w:color w:val="000000"/>
                <w:kern w:val="0"/>
                <w:sz w:val="18"/>
                <w:szCs w:val="18"/>
              </w:rPr>
            </w:pPr>
            <w:r>
              <w:rPr>
                <w:rFonts w:hint="eastAsia" w:ascii="宋体" w:hAnsi="宋体" w:cs="Arial Unicode MS"/>
                <w:color w:val="000000"/>
                <w:kern w:val="0"/>
                <w:sz w:val="18"/>
                <w:szCs w:val="18"/>
              </w:rPr>
              <w:t>本项为减分项，满分1</w:t>
            </w:r>
            <w:r>
              <w:rPr>
                <w:rFonts w:ascii="宋体" w:hAnsi="宋体" w:cs="Arial Unicode MS"/>
                <w:color w:val="000000"/>
                <w:kern w:val="0"/>
                <w:sz w:val="18"/>
                <w:szCs w:val="18"/>
              </w:rPr>
              <w:t>00</w:t>
            </w:r>
            <w:r>
              <w:rPr>
                <w:rFonts w:hint="eastAsia" w:ascii="宋体" w:hAnsi="宋体" w:cs="Arial Unicode MS"/>
                <w:color w:val="000000"/>
                <w:kern w:val="0"/>
                <w:sz w:val="18"/>
                <w:szCs w:val="18"/>
              </w:rPr>
              <w:t>分，每条行政处罚记录减2</w:t>
            </w:r>
            <w:r>
              <w:rPr>
                <w:rFonts w:ascii="宋体" w:hAnsi="宋体" w:cs="Arial Unicode MS"/>
                <w:color w:val="000000"/>
                <w:kern w:val="0"/>
                <w:sz w:val="18"/>
                <w:szCs w:val="18"/>
              </w:rPr>
              <w:t>0</w:t>
            </w:r>
            <w:r>
              <w:rPr>
                <w:rFonts w:hint="eastAsia" w:ascii="宋体" w:hAnsi="宋体" w:cs="Arial Unicode MS"/>
                <w:color w:val="000000"/>
                <w:kern w:val="0"/>
                <w:sz w:val="18"/>
                <w:szCs w:val="18"/>
              </w:rPr>
              <w:t>分，扣至0分为止</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被执行人记录</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15</w:t>
            </w:r>
            <w:r>
              <w:rPr>
                <w:rFonts w:hint="eastAsia" w:ascii="宋体" w:hAnsi="宋体" w:cs="宋体"/>
                <w:color w:val="000000"/>
                <w:kern w:val="0"/>
                <w:sz w:val="18"/>
                <w:szCs w:val="18"/>
              </w:rPr>
              <w:t>%</w:t>
            </w:r>
          </w:p>
        </w:tc>
        <w:tc>
          <w:tcPr>
            <w:tcW w:w="26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color w:val="000000"/>
                <w:kern w:val="0"/>
                <w:sz w:val="18"/>
                <w:szCs w:val="18"/>
              </w:rPr>
            </w:pPr>
            <w:r>
              <w:rPr>
                <w:rFonts w:hint="eastAsia" w:ascii="宋体" w:hAnsi="宋体" w:cs="宋体"/>
                <w:color w:val="000000"/>
                <w:kern w:val="0"/>
                <w:sz w:val="18"/>
                <w:szCs w:val="18"/>
              </w:rPr>
              <w:t>企业法人及法定代表人是否被列为被执行人。</w:t>
            </w: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被执行人</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否</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是</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经营异常记录</w:t>
            </w:r>
          </w:p>
        </w:tc>
        <w:tc>
          <w:tcPr>
            <w:tcW w:w="99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w:t>
            </w:r>
          </w:p>
        </w:tc>
        <w:tc>
          <w:tcPr>
            <w:tcW w:w="2693"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近三年企业被列入经营异常名单的记录。</w:t>
            </w: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经营异常记录（条）</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得分</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9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0</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9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[1,2]</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ascii="宋体" w:hAnsi="宋体" w:cs="Arial Unicode MS"/>
                <w:color w:val="000000"/>
                <w:kern w:val="0"/>
                <w:sz w:val="18"/>
                <w:szCs w:val="18"/>
              </w:rPr>
              <w:t>50</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9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0</w:t>
            </w:r>
          </w:p>
        </w:tc>
      </w:tr>
      <w:tr>
        <w:tblPrEx>
          <w:tblCellMar>
            <w:top w:w="0" w:type="dxa"/>
            <w:left w:w="108" w:type="dxa"/>
            <w:bottom w:w="0" w:type="dxa"/>
            <w:right w:w="108" w:type="dxa"/>
          </w:tblCellMar>
        </w:tblPrEx>
        <w:trPr>
          <w:trHeight w:val="907"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奖励信息</w:t>
            </w:r>
          </w:p>
        </w:tc>
        <w:tc>
          <w:tcPr>
            <w:tcW w:w="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20</w:t>
            </w:r>
            <w:r>
              <w:rPr>
                <w:rFonts w:hint="eastAsia" w:ascii="宋体" w:hAnsi="宋体" w:cs="宋体"/>
                <w:color w:val="000000"/>
                <w:kern w:val="0"/>
                <w:sz w:val="18"/>
                <w:szCs w:val="18"/>
              </w:rPr>
              <w:t>%</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近三年企业来自政府机构、行业协会的荣誉、奖励信息。</w:t>
            </w:r>
          </w:p>
        </w:tc>
        <w:tc>
          <w:tcPr>
            <w:tcW w:w="3118" w:type="dxa"/>
            <w:gridSpan w:val="2"/>
            <w:tcBorders>
              <w:top w:val="single" w:color="auto" w:sz="4" w:space="0"/>
              <w:left w:val="nil"/>
              <w:right w:val="single" w:color="auto" w:sz="4" w:space="0"/>
            </w:tcBorders>
            <w:shd w:val="clear" w:color="auto" w:fill="auto"/>
            <w:vAlign w:val="center"/>
          </w:tcPr>
          <w:p>
            <w:pPr>
              <w:widowControl/>
              <w:jc w:val="left"/>
              <w:rPr>
                <w:rFonts w:ascii="宋体" w:hAnsi="宋体" w:cs="Arial Unicode MS"/>
                <w:color w:val="000000"/>
                <w:kern w:val="0"/>
                <w:sz w:val="18"/>
                <w:szCs w:val="18"/>
              </w:rPr>
            </w:pPr>
            <w:r>
              <w:rPr>
                <w:rFonts w:hint="eastAsia" w:ascii="宋体" w:hAnsi="宋体" w:cs="Arial Unicode MS"/>
                <w:color w:val="000000"/>
                <w:kern w:val="0"/>
                <w:sz w:val="18"/>
                <w:szCs w:val="18"/>
              </w:rPr>
              <w:t>本项为加分项，每项荣誉/奖励信息加2</w:t>
            </w:r>
            <w:r>
              <w:rPr>
                <w:rFonts w:ascii="宋体" w:hAnsi="宋体" w:cs="Arial Unicode MS"/>
                <w:color w:val="000000"/>
                <w:kern w:val="0"/>
                <w:sz w:val="18"/>
                <w:szCs w:val="18"/>
              </w:rPr>
              <w:t>0</w:t>
            </w:r>
            <w:r>
              <w:rPr>
                <w:rFonts w:hint="eastAsia" w:ascii="宋体" w:hAnsi="宋体" w:cs="Arial Unicode MS"/>
                <w:color w:val="000000"/>
                <w:kern w:val="0"/>
                <w:sz w:val="18"/>
                <w:szCs w:val="18"/>
              </w:rPr>
              <w:t>分，满分1</w:t>
            </w:r>
            <w:r>
              <w:rPr>
                <w:rFonts w:ascii="宋体" w:hAnsi="宋体" w:cs="Arial Unicode MS"/>
                <w:color w:val="000000"/>
                <w:kern w:val="0"/>
                <w:sz w:val="18"/>
                <w:szCs w:val="18"/>
              </w:rPr>
              <w:t>00</w:t>
            </w:r>
            <w:r>
              <w:rPr>
                <w:rFonts w:hint="eastAsia" w:ascii="宋体" w:hAnsi="宋体" w:cs="Arial Unicode MS"/>
                <w:color w:val="000000"/>
                <w:kern w:val="0"/>
                <w:sz w:val="18"/>
                <w:szCs w:val="18"/>
              </w:rPr>
              <w:t>分</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社会公益</w:t>
            </w:r>
          </w:p>
        </w:tc>
        <w:tc>
          <w:tcPr>
            <w:tcW w:w="9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ascii="宋体" w:hAnsi="宋体" w:cs="宋体"/>
                <w:color w:val="000000"/>
                <w:kern w:val="0"/>
                <w:sz w:val="18"/>
                <w:szCs w:val="18"/>
              </w:rPr>
              <w:t>10</w:t>
            </w:r>
            <w:r>
              <w:rPr>
                <w:rFonts w:hint="eastAsia" w:ascii="宋体" w:hAnsi="宋体" w:cs="宋体"/>
                <w:color w:val="000000"/>
                <w:kern w:val="0"/>
                <w:sz w:val="18"/>
                <w:szCs w:val="18"/>
              </w:rPr>
              <w:t>%</w:t>
            </w:r>
          </w:p>
        </w:tc>
        <w:tc>
          <w:tcPr>
            <w:tcW w:w="2693"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近三年企业参与、组织社会公益活动、捐助等记录。</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社会公益记录</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Arial Unicode MS"/>
                <w:color w:val="000000"/>
                <w:kern w:val="0"/>
                <w:sz w:val="18"/>
                <w:szCs w:val="18"/>
              </w:rPr>
            </w:pPr>
            <w:r>
              <w:rPr>
                <w:rFonts w:hint="eastAsia" w:ascii="宋体" w:hAnsi="宋体" w:cs="Arial Unicode MS"/>
                <w:color w:val="000000"/>
                <w:kern w:val="0"/>
                <w:sz w:val="18"/>
                <w:szCs w:val="18"/>
              </w:rPr>
              <w:t>次数≥3或捐助总金额＞</w:t>
            </w:r>
            <w:r>
              <w:rPr>
                <w:rFonts w:ascii="宋体" w:hAnsi="宋体" w:cs="Arial Unicode MS"/>
                <w:color w:val="000000"/>
                <w:kern w:val="0"/>
                <w:sz w:val="18"/>
                <w:szCs w:val="18"/>
              </w:rPr>
              <w:t>1</w:t>
            </w:r>
            <w:r>
              <w:rPr>
                <w:rFonts w:hint="eastAsia" w:ascii="宋体" w:hAnsi="宋体" w:cs="Arial Unicode MS"/>
                <w:color w:val="000000"/>
                <w:kern w:val="0"/>
                <w:sz w:val="18"/>
                <w:szCs w:val="18"/>
              </w:rPr>
              <w:t>0万元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Arial Unicode MS"/>
                <w:color w:val="000000"/>
                <w:kern w:val="0"/>
                <w:sz w:val="18"/>
                <w:szCs w:val="18"/>
              </w:rPr>
            </w:pPr>
            <w:r>
              <w:rPr>
                <w:rFonts w:hint="eastAsia" w:ascii="宋体" w:hAnsi="宋体" w:cs="Arial Unicode MS"/>
                <w:color w:val="000000"/>
                <w:kern w:val="0"/>
                <w:sz w:val="18"/>
                <w:szCs w:val="18"/>
              </w:rPr>
              <w:t>次数＜3且捐助总金额＜</w:t>
            </w:r>
            <w:r>
              <w:rPr>
                <w:rFonts w:ascii="宋体" w:hAnsi="宋体" w:cs="Arial Unicode MS"/>
                <w:color w:val="000000"/>
                <w:kern w:val="0"/>
                <w:sz w:val="18"/>
                <w:szCs w:val="18"/>
              </w:rPr>
              <w:t>1</w:t>
            </w:r>
            <w:r>
              <w:rPr>
                <w:rFonts w:hint="eastAsia" w:ascii="宋体" w:hAnsi="宋体" w:cs="Arial Unicode MS"/>
                <w:color w:val="000000"/>
                <w:kern w:val="0"/>
                <w:sz w:val="18"/>
                <w:szCs w:val="18"/>
              </w:rPr>
              <w:t>0万元</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0" w:lineRule="atLeast"/>
              <w:jc w:val="center"/>
              <w:rPr>
                <w:rFonts w:ascii="宋体" w:hAnsi="宋体" w:cs="Arial Unicode MS"/>
                <w:color w:val="000000"/>
                <w:kern w:val="0"/>
                <w:sz w:val="18"/>
                <w:szCs w:val="18"/>
              </w:rPr>
            </w:pPr>
            <w:r>
              <w:rPr>
                <w:rFonts w:hint="eastAsia" w:ascii="宋体" w:hAnsi="宋体" w:cs="Arial Unicode MS"/>
                <w:color w:val="000000"/>
                <w:kern w:val="0"/>
                <w:sz w:val="18"/>
                <w:szCs w:val="18"/>
              </w:rPr>
              <w:t>50</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8"/>
                <w:szCs w:val="18"/>
              </w:rPr>
            </w:pPr>
          </w:p>
        </w:tc>
        <w:tc>
          <w:tcPr>
            <w:tcW w:w="9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无记录</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0</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公众监督</w:t>
            </w:r>
          </w:p>
        </w:tc>
        <w:tc>
          <w:tcPr>
            <w:tcW w:w="993"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r>
              <w:rPr>
                <w:rFonts w:ascii="宋体" w:hAnsi="宋体" w:cs="宋体"/>
                <w:color w:val="000000"/>
                <w:kern w:val="0"/>
                <w:sz w:val="18"/>
                <w:szCs w:val="18"/>
              </w:rPr>
              <w:t>0</w:t>
            </w:r>
            <w:r>
              <w:rPr>
                <w:rFonts w:hint="eastAsia" w:ascii="宋体" w:hAnsi="宋体" w:cs="宋体"/>
                <w:color w:val="000000"/>
                <w:kern w:val="0"/>
                <w:sz w:val="18"/>
                <w:szCs w:val="18"/>
              </w:rPr>
              <w:t>%</w:t>
            </w:r>
          </w:p>
        </w:tc>
        <w:tc>
          <w:tcPr>
            <w:tcW w:w="2693"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通过受评企业是否自愿签署《中国好家装促进行动自律公约》考察企业接受公众监督的意愿。</w:t>
            </w: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是否签署公约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b/>
                <w:bCs/>
                <w:color w:val="000000"/>
                <w:kern w:val="0"/>
                <w:sz w:val="18"/>
                <w:szCs w:val="18"/>
              </w:rPr>
            </w:pPr>
            <w:r>
              <w:rPr>
                <w:rFonts w:hint="eastAsia" w:ascii="宋体" w:hAnsi="宋体" w:cs="Arial Unicode MS"/>
                <w:b/>
                <w:bCs/>
                <w:color w:val="000000"/>
                <w:kern w:val="0"/>
                <w:sz w:val="18"/>
                <w:szCs w:val="18"/>
              </w:rPr>
              <w:t>得分</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93" w:type="dxa"/>
            <w:vMerge w:val="continue"/>
            <w:tcBorders>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是</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100</w:t>
            </w:r>
          </w:p>
        </w:tc>
      </w:tr>
      <w:tr>
        <w:tblPrEx>
          <w:tblCellMar>
            <w:top w:w="0" w:type="dxa"/>
            <w:left w:w="108" w:type="dxa"/>
            <w:bottom w:w="0" w:type="dxa"/>
            <w:right w:w="108" w:type="dxa"/>
          </w:tblCellMar>
        </w:tblPrEx>
        <w:trPr>
          <w:trHeight w:val="20" w:hRule="atLeast"/>
        </w:trPr>
        <w:tc>
          <w:tcPr>
            <w:tcW w:w="99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99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993"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8"/>
                <w:szCs w:val="18"/>
              </w:rPr>
            </w:pPr>
          </w:p>
        </w:tc>
        <w:tc>
          <w:tcPr>
            <w:tcW w:w="2693"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8"/>
                <w:szCs w:val="18"/>
              </w:rPr>
            </w:pPr>
          </w:p>
        </w:tc>
        <w:tc>
          <w:tcPr>
            <w:tcW w:w="198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否</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Arial Unicode MS"/>
                <w:color w:val="000000"/>
                <w:kern w:val="0"/>
                <w:sz w:val="18"/>
                <w:szCs w:val="18"/>
              </w:rPr>
            </w:pPr>
            <w:r>
              <w:rPr>
                <w:rFonts w:hint="eastAsia" w:ascii="宋体" w:hAnsi="宋体" w:cs="Arial Unicode MS"/>
                <w:color w:val="000000"/>
                <w:kern w:val="0"/>
                <w:sz w:val="18"/>
                <w:szCs w:val="18"/>
              </w:rPr>
              <w:t>0</w:t>
            </w:r>
          </w:p>
        </w:tc>
      </w:tr>
    </w:tbl>
    <w:p>
      <w:pPr>
        <w:widowControl/>
        <w:jc w:val="left"/>
        <w:rPr>
          <w:rFonts w:eastAsia="仿宋_GB2312" w:cs="宋体"/>
          <w:sz w:val="32"/>
          <w:szCs w:val="22"/>
        </w:rPr>
      </w:pPr>
      <w:bookmarkStart w:id="56" w:name="_GoBack"/>
      <w:bookmarkEnd w:id="56"/>
    </w:p>
    <w:sectPr>
      <w:footerReference r:id="rId3" w:type="default"/>
      <w:pgSz w:w="11906" w:h="16838"/>
      <w:pgMar w:top="1803" w:right="1440" w:bottom="1803" w:left="144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Calibri Light">
    <w:altName w:val="Calibri"/>
    <w:panose1 w:val="020F0302020204030204"/>
    <w:charset w:val="00"/>
    <w:family w:val="swiss"/>
    <w:pitch w:val="default"/>
    <w:sig w:usb0="00000000" w:usb1="00000000" w:usb2="00000000" w:usb3="00000000" w:csb0="0000019F" w:csb1="00000000"/>
  </w:font>
  <w:font w:name="Verdana">
    <w:panose1 w:val="020B0604030504040204"/>
    <w:charset w:val="00"/>
    <w:family w:val="swiss"/>
    <w:pitch w:val="default"/>
    <w:sig w:usb0="A10006FF" w:usb1="4000205B" w:usb2="00000010" w:usb3="00000000" w:csb0="2000019F" w:csb1="00000000"/>
  </w:font>
  <w:font w:name="文鼎CS大宋">
    <w:altName w:val="宋体"/>
    <w:panose1 w:val="00000000000000000000"/>
    <w:charset w:val="86"/>
    <w:family w:val="moder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宋体">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026"/>
        <w:tab w:val="clear" w:pos="4153"/>
      </w:tabs>
    </w:pPr>
    <w:r>
      <w:rPr>
        <w:rFonts w:hint="eastAsia"/>
      </w:rPr>
      <w:tab/>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4D66FD"/>
    <w:multiLevelType w:val="multilevel"/>
    <w:tmpl w:val="274D66FD"/>
    <w:lvl w:ilvl="0" w:tentative="0">
      <w:start w:val="1"/>
      <w:numFmt w:val="decimal"/>
      <w:lvlText w:val="（%1）"/>
      <w:lvlJc w:val="left"/>
      <w:pPr>
        <w:ind w:left="1572" w:hanging="720"/>
      </w:pPr>
      <w:rPr>
        <w:rFonts w:hint="default" w:cs="Times New Roman"/>
      </w:rPr>
    </w:lvl>
    <w:lvl w:ilvl="1" w:tentative="0">
      <w:start w:val="1"/>
      <w:numFmt w:val="lowerLetter"/>
      <w:lvlText w:val="%2)"/>
      <w:lvlJc w:val="left"/>
      <w:pPr>
        <w:ind w:left="1322" w:hanging="420"/>
      </w:pPr>
      <w:rPr>
        <w:rFonts w:cs="Times New Roman"/>
      </w:rPr>
    </w:lvl>
    <w:lvl w:ilvl="2" w:tentative="0">
      <w:start w:val="1"/>
      <w:numFmt w:val="lowerRoman"/>
      <w:lvlText w:val="%3."/>
      <w:lvlJc w:val="right"/>
      <w:pPr>
        <w:ind w:left="1742" w:hanging="420"/>
      </w:pPr>
      <w:rPr>
        <w:rFonts w:cs="Times New Roman"/>
      </w:rPr>
    </w:lvl>
    <w:lvl w:ilvl="3" w:tentative="0">
      <w:start w:val="1"/>
      <w:numFmt w:val="decimal"/>
      <w:lvlText w:val="%4."/>
      <w:lvlJc w:val="left"/>
      <w:pPr>
        <w:ind w:left="2162" w:hanging="420"/>
      </w:pPr>
      <w:rPr>
        <w:rFonts w:cs="Times New Roman"/>
      </w:rPr>
    </w:lvl>
    <w:lvl w:ilvl="4" w:tentative="0">
      <w:start w:val="1"/>
      <w:numFmt w:val="lowerLetter"/>
      <w:lvlText w:val="%5)"/>
      <w:lvlJc w:val="left"/>
      <w:pPr>
        <w:ind w:left="2582" w:hanging="420"/>
      </w:pPr>
      <w:rPr>
        <w:rFonts w:cs="Times New Roman"/>
      </w:rPr>
    </w:lvl>
    <w:lvl w:ilvl="5" w:tentative="0">
      <w:start w:val="1"/>
      <w:numFmt w:val="lowerRoman"/>
      <w:lvlText w:val="%6."/>
      <w:lvlJc w:val="right"/>
      <w:pPr>
        <w:ind w:left="3002" w:hanging="420"/>
      </w:pPr>
      <w:rPr>
        <w:rFonts w:cs="Times New Roman"/>
      </w:rPr>
    </w:lvl>
    <w:lvl w:ilvl="6" w:tentative="0">
      <w:start w:val="1"/>
      <w:numFmt w:val="decimal"/>
      <w:lvlText w:val="%7."/>
      <w:lvlJc w:val="left"/>
      <w:pPr>
        <w:ind w:left="3422" w:hanging="420"/>
      </w:pPr>
      <w:rPr>
        <w:rFonts w:cs="Times New Roman"/>
      </w:rPr>
    </w:lvl>
    <w:lvl w:ilvl="7" w:tentative="0">
      <w:start w:val="1"/>
      <w:numFmt w:val="lowerLetter"/>
      <w:lvlText w:val="%8)"/>
      <w:lvlJc w:val="left"/>
      <w:pPr>
        <w:ind w:left="3842" w:hanging="420"/>
      </w:pPr>
      <w:rPr>
        <w:rFonts w:cs="Times New Roman"/>
      </w:rPr>
    </w:lvl>
    <w:lvl w:ilvl="8" w:tentative="0">
      <w:start w:val="1"/>
      <w:numFmt w:val="lowerRoman"/>
      <w:lvlText w:val="%9."/>
      <w:lvlJc w:val="right"/>
      <w:pPr>
        <w:ind w:left="4262" w:hanging="420"/>
      </w:pPr>
      <w:rPr>
        <w:rFonts w:cs="Times New Roman"/>
      </w:rPr>
    </w:lvl>
  </w:abstractNum>
  <w:abstractNum w:abstractNumId="1">
    <w:nsid w:val="3E03320B"/>
    <w:multiLevelType w:val="multilevel"/>
    <w:tmpl w:val="3E03320B"/>
    <w:lvl w:ilvl="0" w:tentative="0">
      <w:start w:val="1"/>
      <w:numFmt w:val="decimal"/>
      <w:lvlText w:val="（%1）"/>
      <w:lvlJc w:val="left"/>
      <w:pPr>
        <w:ind w:left="1125" w:hanging="720"/>
      </w:pPr>
      <w:rPr>
        <w:rFonts w:hint="default" w:cs="Times New Roman"/>
      </w:rPr>
    </w:lvl>
    <w:lvl w:ilvl="1" w:tentative="0">
      <w:start w:val="1"/>
      <w:numFmt w:val="lowerLetter"/>
      <w:lvlText w:val="%2)"/>
      <w:lvlJc w:val="left"/>
      <w:pPr>
        <w:ind w:left="1245" w:hanging="420"/>
      </w:pPr>
      <w:rPr>
        <w:rFonts w:cs="Times New Roman"/>
      </w:rPr>
    </w:lvl>
    <w:lvl w:ilvl="2" w:tentative="0">
      <w:start w:val="1"/>
      <w:numFmt w:val="lowerRoman"/>
      <w:lvlText w:val="%3."/>
      <w:lvlJc w:val="right"/>
      <w:pPr>
        <w:ind w:left="1665" w:hanging="420"/>
      </w:pPr>
      <w:rPr>
        <w:rFonts w:cs="Times New Roman"/>
      </w:rPr>
    </w:lvl>
    <w:lvl w:ilvl="3" w:tentative="0">
      <w:start w:val="1"/>
      <w:numFmt w:val="decimal"/>
      <w:lvlText w:val="%4."/>
      <w:lvlJc w:val="left"/>
      <w:pPr>
        <w:ind w:left="2085" w:hanging="420"/>
      </w:pPr>
      <w:rPr>
        <w:rFonts w:cs="Times New Roman"/>
      </w:rPr>
    </w:lvl>
    <w:lvl w:ilvl="4" w:tentative="0">
      <w:start w:val="1"/>
      <w:numFmt w:val="lowerLetter"/>
      <w:lvlText w:val="%5)"/>
      <w:lvlJc w:val="left"/>
      <w:pPr>
        <w:ind w:left="2505" w:hanging="420"/>
      </w:pPr>
      <w:rPr>
        <w:rFonts w:cs="Times New Roman"/>
      </w:rPr>
    </w:lvl>
    <w:lvl w:ilvl="5" w:tentative="0">
      <w:start w:val="1"/>
      <w:numFmt w:val="lowerRoman"/>
      <w:lvlText w:val="%6."/>
      <w:lvlJc w:val="right"/>
      <w:pPr>
        <w:ind w:left="2925" w:hanging="420"/>
      </w:pPr>
      <w:rPr>
        <w:rFonts w:cs="Times New Roman"/>
      </w:rPr>
    </w:lvl>
    <w:lvl w:ilvl="6" w:tentative="0">
      <w:start w:val="1"/>
      <w:numFmt w:val="decimal"/>
      <w:lvlText w:val="%7."/>
      <w:lvlJc w:val="left"/>
      <w:pPr>
        <w:ind w:left="3345" w:hanging="420"/>
      </w:pPr>
      <w:rPr>
        <w:rFonts w:cs="Times New Roman"/>
      </w:rPr>
    </w:lvl>
    <w:lvl w:ilvl="7" w:tentative="0">
      <w:start w:val="1"/>
      <w:numFmt w:val="lowerLetter"/>
      <w:lvlText w:val="%8)"/>
      <w:lvlJc w:val="left"/>
      <w:pPr>
        <w:ind w:left="3765" w:hanging="420"/>
      </w:pPr>
      <w:rPr>
        <w:rFonts w:cs="Times New Roman"/>
      </w:rPr>
    </w:lvl>
    <w:lvl w:ilvl="8" w:tentative="0">
      <w:start w:val="1"/>
      <w:numFmt w:val="lowerRoman"/>
      <w:lvlText w:val="%9."/>
      <w:lvlJc w:val="right"/>
      <w:pPr>
        <w:ind w:left="4185" w:hanging="420"/>
      </w:pPr>
      <w:rPr>
        <w:rFonts w:cs="Times New Roman"/>
      </w:rPr>
    </w:lvl>
  </w:abstractNum>
  <w:abstractNum w:abstractNumId="2">
    <w:nsid w:val="6CEA2025"/>
    <w:multiLevelType w:val="multilevel"/>
    <w:tmpl w:val="6CEA2025"/>
    <w:lvl w:ilvl="0" w:tentative="0">
      <w:start w:val="1"/>
      <w:numFmt w:val="none"/>
      <w:pStyle w:val="53"/>
      <w:suff w:val="nothing"/>
      <w:lvlText w:val="%1"/>
      <w:lvlJc w:val="left"/>
      <w:rPr>
        <w:rFonts w:hint="default" w:ascii="Times New Roman" w:hAnsi="Times New Roman"/>
        <w:b/>
        <w:bCs/>
        <w:i w:val="0"/>
        <w:iCs w:val="0"/>
        <w:sz w:val="21"/>
        <w:szCs w:val="21"/>
      </w:rPr>
    </w:lvl>
    <w:lvl w:ilvl="1" w:tentative="0">
      <w:start w:val="1"/>
      <w:numFmt w:val="decimal"/>
      <w:pStyle w:val="54"/>
      <w:suff w:val="nothing"/>
      <w:lvlText w:val="%1%2　"/>
      <w:lvlJc w:val="left"/>
      <w:rPr>
        <w:rFonts w:hint="eastAsia" w:ascii="黑体" w:hAnsi="Times New Roman" w:eastAsia="黑体"/>
        <w:b w:val="0"/>
        <w:bCs w:val="0"/>
        <w:i w:val="0"/>
        <w:iCs w:val="0"/>
        <w:sz w:val="21"/>
        <w:szCs w:val="21"/>
      </w:rPr>
    </w:lvl>
    <w:lvl w:ilvl="2" w:tentative="0">
      <w:start w:val="1"/>
      <w:numFmt w:val="decimal"/>
      <w:pStyle w:val="55"/>
      <w:suff w:val="nothing"/>
      <w:lvlText w:val="%1%2.%3　"/>
      <w:lvlJc w:val="left"/>
      <w:rPr>
        <w:rFonts w:hint="eastAsia" w:ascii="黑体" w:hAnsi="Times New Roman" w:eastAsia="黑体"/>
        <w:b w:val="0"/>
        <w:bCs w:val="0"/>
        <w:i w:val="0"/>
        <w:iCs w:val="0"/>
        <w:sz w:val="21"/>
        <w:szCs w:val="21"/>
      </w:rPr>
    </w:lvl>
    <w:lvl w:ilvl="3" w:tentative="0">
      <w:start w:val="1"/>
      <w:numFmt w:val="decimal"/>
      <w:pStyle w:val="56"/>
      <w:suff w:val="nothing"/>
      <w:lvlText w:val="%1%2.%3.%4　"/>
      <w:lvlJc w:val="left"/>
      <w:rPr>
        <w:rFonts w:hint="eastAsia" w:ascii="黑体" w:hAnsi="Times New Roman" w:eastAsia="黑体"/>
        <w:b w:val="0"/>
        <w:bCs w:val="0"/>
        <w:i w:val="0"/>
        <w:iCs w:val="0"/>
        <w:sz w:val="21"/>
        <w:szCs w:val="21"/>
      </w:rPr>
    </w:lvl>
    <w:lvl w:ilvl="4" w:tentative="0">
      <w:start w:val="1"/>
      <w:numFmt w:val="decimal"/>
      <w:pStyle w:val="57"/>
      <w:suff w:val="nothing"/>
      <w:lvlText w:val="%1%2.%3.%4.%5　"/>
      <w:lvlJc w:val="left"/>
      <w:rPr>
        <w:rFonts w:hint="eastAsia" w:ascii="黑体" w:hAnsi="Times New Roman" w:eastAsia="黑体"/>
        <w:b w:val="0"/>
        <w:bCs w:val="0"/>
        <w:i w:val="0"/>
        <w:iCs w:val="0"/>
        <w:sz w:val="21"/>
        <w:szCs w:val="21"/>
      </w:rPr>
    </w:lvl>
    <w:lvl w:ilvl="5" w:tentative="0">
      <w:start w:val="1"/>
      <w:numFmt w:val="decimal"/>
      <w:pStyle w:val="58"/>
      <w:suff w:val="nothing"/>
      <w:lvlText w:val="%1%2.%3.%4.%5.%6　"/>
      <w:lvlJc w:val="left"/>
      <w:rPr>
        <w:rFonts w:hint="eastAsia" w:ascii="黑体" w:hAnsi="Times New Roman" w:eastAsia="黑体"/>
        <w:b w:val="0"/>
        <w:bCs w:val="0"/>
        <w:i w:val="0"/>
        <w:iCs w:val="0"/>
        <w:sz w:val="21"/>
        <w:szCs w:val="21"/>
      </w:rPr>
    </w:lvl>
    <w:lvl w:ilvl="6" w:tentative="0">
      <w:start w:val="1"/>
      <w:numFmt w:val="decimal"/>
      <w:pStyle w:val="60"/>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76933334"/>
    <w:multiLevelType w:val="multilevel"/>
    <w:tmpl w:val="76933334"/>
    <w:lvl w:ilvl="0" w:tentative="0">
      <w:start w:val="1"/>
      <w:numFmt w:val="none"/>
      <w:pStyle w:val="61"/>
      <w:lvlText w:val="%1——"/>
      <w:lvlJc w:val="left"/>
      <w:pPr>
        <w:tabs>
          <w:tab w:val="left" w:pos="907"/>
        </w:tabs>
        <w:ind w:left="964" w:hanging="544"/>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755E5"/>
    <w:rsid w:val="000812F5"/>
    <w:rsid w:val="000B6A3A"/>
    <w:rsid w:val="000C71E7"/>
    <w:rsid w:val="000D1D45"/>
    <w:rsid w:val="000E18FA"/>
    <w:rsid w:val="00147059"/>
    <w:rsid w:val="00172A27"/>
    <w:rsid w:val="001767B5"/>
    <w:rsid w:val="00176DA4"/>
    <w:rsid w:val="001902C4"/>
    <w:rsid w:val="001B1F91"/>
    <w:rsid w:val="001E6D52"/>
    <w:rsid w:val="001F0EBA"/>
    <w:rsid w:val="001F0EDE"/>
    <w:rsid w:val="001F0FE5"/>
    <w:rsid w:val="001F6EE8"/>
    <w:rsid w:val="00201AF7"/>
    <w:rsid w:val="0020209A"/>
    <w:rsid w:val="00212210"/>
    <w:rsid w:val="00214F50"/>
    <w:rsid w:val="00254C36"/>
    <w:rsid w:val="002D1393"/>
    <w:rsid w:val="0030687F"/>
    <w:rsid w:val="00307A44"/>
    <w:rsid w:val="00330CD5"/>
    <w:rsid w:val="00342F3B"/>
    <w:rsid w:val="003548B6"/>
    <w:rsid w:val="003558E7"/>
    <w:rsid w:val="00372252"/>
    <w:rsid w:val="003851A1"/>
    <w:rsid w:val="003866F1"/>
    <w:rsid w:val="0039231B"/>
    <w:rsid w:val="003A026B"/>
    <w:rsid w:val="003F3F20"/>
    <w:rsid w:val="00415CCC"/>
    <w:rsid w:val="00454FBC"/>
    <w:rsid w:val="0045592A"/>
    <w:rsid w:val="00467B22"/>
    <w:rsid w:val="0047401E"/>
    <w:rsid w:val="004801F8"/>
    <w:rsid w:val="00482FE2"/>
    <w:rsid w:val="00490F84"/>
    <w:rsid w:val="005062FC"/>
    <w:rsid w:val="00520913"/>
    <w:rsid w:val="005256F7"/>
    <w:rsid w:val="00537D9F"/>
    <w:rsid w:val="00553AF1"/>
    <w:rsid w:val="00593B33"/>
    <w:rsid w:val="005A4696"/>
    <w:rsid w:val="005D1DE9"/>
    <w:rsid w:val="005D5D94"/>
    <w:rsid w:val="005E1CE9"/>
    <w:rsid w:val="00604925"/>
    <w:rsid w:val="006063EF"/>
    <w:rsid w:val="006213AB"/>
    <w:rsid w:val="00626F37"/>
    <w:rsid w:val="00653FF3"/>
    <w:rsid w:val="00661BC0"/>
    <w:rsid w:val="006766A3"/>
    <w:rsid w:val="006B0FBE"/>
    <w:rsid w:val="006E7AAD"/>
    <w:rsid w:val="0070408D"/>
    <w:rsid w:val="007153A8"/>
    <w:rsid w:val="00720D38"/>
    <w:rsid w:val="007408F2"/>
    <w:rsid w:val="0076561F"/>
    <w:rsid w:val="00782F18"/>
    <w:rsid w:val="0079008D"/>
    <w:rsid w:val="007A474A"/>
    <w:rsid w:val="007C575A"/>
    <w:rsid w:val="00800622"/>
    <w:rsid w:val="00807910"/>
    <w:rsid w:val="00816C90"/>
    <w:rsid w:val="008256A8"/>
    <w:rsid w:val="00826FC6"/>
    <w:rsid w:val="0084425F"/>
    <w:rsid w:val="00894E66"/>
    <w:rsid w:val="008A122F"/>
    <w:rsid w:val="008C7D24"/>
    <w:rsid w:val="009110DD"/>
    <w:rsid w:val="0091156A"/>
    <w:rsid w:val="0091688D"/>
    <w:rsid w:val="009470EE"/>
    <w:rsid w:val="00967030"/>
    <w:rsid w:val="009A644F"/>
    <w:rsid w:val="009A65D0"/>
    <w:rsid w:val="009B70C3"/>
    <w:rsid w:val="009C0421"/>
    <w:rsid w:val="009E1959"/>
    <w:rsid w:val="009E5AC0"/>
    <w:rsid w:val="009E624C"/>
    <w:rsid w:val="009F28C3"/>
    <w:rsid w:val="00A17C94"/>
    <w:rsid w:val="00A44288"/>
    <w:rsid w:val="00AB79D6"/>
    <w:rsid w:val="00AC5E08"/>
    <w:rsid w:val="00AE02F3"/>
    <w:rsid w:val="00AE2CE1"/>
    <w:rsid w:val="00B06603"/>
    <w:rsid w:val="00B06FAB"/>
    <w:rsid w:val="00B21C6C"/>
    <w:rsid w:val="00B34794"/>
    <w:rsid w:val="00B504FF"/>
    <w:rsid w:val="00B94543"/>
    <w:rsid w:val="00BC686F"/>
    <w:rsid w:val="00BC7506"/>
    <w:rsid w:val="00BD1D61"/>
    <w:rsid w:val="00C068BD"/>
    <w:rsid w:val="00C26540"/>
    <w:rsid w:val="00C2757C"/>
    <w:rsid w:val="00C35A1C"/>
    <w:rsid w:val="00C53EAB"/>
    <w:rsid w:val="00C575D6"/>
    <w:rsid w:val="00C765E3"/>
    <w:rsid w:val="00C76BE3"/>
    <w:rsid w:val="00CB595E"/>
    <w:rsid w:val="00CC3C85"/>
    <w:rsid w:val="00CD35B3"/>
    <w:rsid w:val="00CF0893"/>
    <w:rsid w:val="00D444B6"/>
    <w:rsid w:val="00D61EE1"/>
    <w:rsid w:val="00D65869"/>
    <w:rsid w:val="00D85372"/>
    <w:rsid w:val="00DD6D6F"/>
    <w:rsid w:val="00DD73C5"/>
    <w:rsid w:val="00DE3D26"/>
    <w:rsid w:val="00E2758E"/>
    <w:rsid w:val="00E332C4"/>
    <w:rsid w:val="00EB3FBB"/>
    <w:rsid w:val="00EC09C0"/>
    <w:rsid w:val="00EC27DD"/>
    <w:rsid w:val="00EE0B2D"/>
    <w:rsid w:val="00EF7500"/>
    <w:rsid w:val="00F50040"/>
    <w:rsid w:val="00F71958"/>
    <w:rsid w:val="00F94A49"/>
    <w:rsid w:val="00FC59D9"/>
    <w:rsid w:val="00FC6462"/>
    <w:rsid w:val="00FE3480"/>
    <w:rsid w:val="018F5C04"/>
    <w:rsid w:val="01D756B5"/>
    <w:rsid w:val="0281035B"/>
    <w:rsid w:val="03B13897"/>
    <w:rsid w:val="04DD3C7E"/>
    <w:rsid w:val="063A020B"/>
    <w:rsid w:val="08927022"/>
    <w:rsid w:val="0947427F"/>
    <w:rsid w:val="0A834144"/>
    <w:rsid w:val="0A903BC8"/>
    <w:rsid w:val="0AB34A18"/>
    <w:rsid w:val="0ADA2ED6"/>
    <w:rsid w:val="0EA922EA"/>
    <w:rsid w:val="0FA85A0B"/>
    <w:rsid w:val="100E1FC9"/>
    <w:rsid w:val="10D3229D"/>
    <w:rsid w:val="10DA45EB"/>
    <w:rsid w:val="11513A1F"/>
    <w:rsid w:val="12691182"/>
    <w:rsid w:val="14F12C91"/>
    <w:rsid w:val="15C429EC"/>
    <w:rsid w:val="17BD066D"/>
    <w:rsid w:val="1C1C44CA"/>
    <w:rsid w:val="26161A52"/>
    <w:rsid w:val="2C3A644F"/>
    <w:rsid w:val="2CE4580F"/>
    <w:rsid w:val="2D224144"/>
    <w:rsid w:val="2D4959EF"/>
    <w:rsid w:val="2E1155BE"/>
    <w:rsid w:val="2EF07E0F"/>
    <w:rsid w:val="30221B96"/>
    <w:rsid w:val="33D726C5"/>
    <w:rsid w:val="34256884"/>
    <w:rsid w:val="366B11A2"/>
    <w:rsid w:val="3ACA22B9"/>
    <w:rsid w:val="42E65245"/>
    <w:rsid w:val="48D91909"/>
    <w:rsid w:val="49D81A90"/>
    <w:rsid w:val="4A890DB7"/>
    <w:rsid w:val="4B3611D1"/>
    <w:rsid w:val="4B9A5369"/>
    <w:rsid w:val="52A87CB7"/>
    <w:rsid w:val="53DA389F"/>
    <w:rsid w:val="56AD5B66"/>
    <w:rsid w:val="570C5732"/>
    <w:rsid w:val="58171A4D"/>
    <w:rsid w:val="58957C6F"/>
    <w:rsid w:val="58980823"/>
    <w:rsid w:val="5D611AE6"/>
    <w:rsid w:val="648B4428"/>
    <w:rsid w:val="67460858"/>
    <w:rsid w:val="6C0A5C4B"/>
    <w:rsid w:val="6CC61311"/>
    <w:rsid w:val="6F282892"/>
    <w:rsid w:val="714E0AD1"/>
    <w:rsid w:val="71A4445D"/>
    <w:rsid w:val="72BD36F2"/>
    <w:rsid w:val="72DD7906"/>
    <w:rsid w:val="74C02C7C"/>
    <w:rsid w:val="74CE2608"/>
    <w:rsid w:val="74E84006"/>
    <w:rsid w:val="754E1D76"/>
    <w:rsid w:val="75A50180"/>
    <w:rsid w:val="76872579"/>
    <w:rsid w:val="7B9A1E71"/>
    <w:rsid w:val="7EBB27A4"/>
    <w:rsid w:val="7ECD3A5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99" w:semiHidden="0" w:name="toc 2"/>
    <w:lsdException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nhideWhenUsed="0" w:uiPriority="99" w:semiHidden="0"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45"/>
    <w:qFormat/>
    <w:locked/>
    <w:uiPriority w:val="9"/>
    <w:pPr>
      <w:spacing w:before="1"/>
      <w:ind w:left="904"/>
      <w:outlineLvl w:val="0"/>
    </w:pPr>
    <w:rPr>
      <w:b/>
      <w:bCs/>
      <w:sz w:val="32"/>
      <w:szCs w:val="32"/>
    </w:rPr>
  </w:style>
  <w:style w:type="paragraph" w:styleId="3">
    <w:name w:val="heading 2"/>
    <w:basedOn w:val="1"/>
    <w:next w:val="1"/>
    <w:link w:val="33"/>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44"/>
    <w:qFormat/>
    <w:locked/>
    <w:uiPriority w:val="9"/>
    <w:pPr>
      <w:keepNext/>
      <w:keepLines/>
      <w:spacing w:before="260" w:after="260" w:line="416" w:lineRule="auto"/>
      <w:outlineLvl w:val="2"/>
    </w:pPr>
    <w:rPr>
      <w:rFonts w:ascii="Calibri" w:hAnsi="Calibri"/>
      <w:b/>
      <w:bCs/>
      <w:sz w:val="32"/>
      <w:szCs w:val="32"/>
    </w:rPr>
  </w:style>
  <w:style w:type="paragraph" w:styleId="5">
    <w:name w:val="heading 4"/>
    <w:basedOn w:val="1"/>
    <w:next w:val="1"/>
    <w:link w:val="34"/>
    <w:semiHidden/>
    <w:unhideWhenUsed/>
    <w:qFormat/>
    <w:locked/>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49"/>
    <w:uiPriority w:val="99"/>
    <w:rPr>
      <w:rFonts w:ascii="宋体" w:hAnsi="Calibri" w:cs="宋体"/>
      <w:sz w:val="18"/>
      <w:szCs w:val="18"/>
    </w:rPr>
  </w:style>
  <w:style w:type="paragraph" w:styleId="7">
    <w:name w:val="annotation text"/>
    <w:basedOn w:val="1"/>
    <w:link w:val="79"/>
    <w:uiPriority w:val="0"/>
    <w:pPr>
      <w:jc w:val="left"/>
    </w:pPr>
    <w:rPr>
      <w:szCs w:val="24"/>
    </w:rPr>
  </w:style>
  <w:style w:type="paragraph" w:styleId="8">
    <w:name w:val="Body Text"/>
    <w:basedOn w:val="1"/>
    <w:link w:val="50"/>
    <w:qFormat/>
    <w:uiPriority w:val="0"/>
    <w:pPr>
      <w:ind w:left="258"/>
    </w:pPr>
    <w:rPr>
      <w:sz w:val="32"/>
      <w:szCs w:val="32"/>
    </w:rPr>
  </w:style>
  <w:style w:type="paragraph" w:styleId="9">
    <w:name w:val="toc 3"/>
    <w:basedOn w:val="1"/>
    <w:next w:val="1"/>
    <w:unhideWhenUsed/>
    <w:uiPriority w:val="99"/>
    <w:pPr>
      <w:ind w:left="840" w:leftChars="400"/>
    </w:pPr>
    <w:rPr>
      <w:rFonts w:ascii="Calibri" w:hAnsi="Calibri"/>
      <w:szCs w:val="22"/>
    </w:rPr>
  </w:style>
  <w:style w:type="paragraph" w:styleId="10">
    <w:name w:val="Date"/>
    <w:basedOn w:val="1"/>
    <w:next w:val="1"/>
    <w:link w:val="26"/>
    <w:qFormat/>
    <w:uiPriority w:val="0"/>
    <w:pPr>
      <w:ind w:left="100" w:leftChars="2500"/>
    </w:pPr>
  </w:style>
  <w:style w:type="paragraph" w:styleId="11">
    <w:name w:val="Balloon Text"/>
    <w:basedOn w:val="1"/>
    <w:link w:val="27"/>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rPr>
      <w:rFonts w:ascii="Calibri" w:hAnsi="Calibri"/>
      <w:szCs w:val="22"/>
    </w:rPr>
  </w:style>
  <w:style w:type="paragraph" w:styleId="15">
    <w:name w:val="toc 2"/>
    <w:basedOn w:val="1"/>
    <w:next w:val="1"/>
    <w:unhideWhenUsed/>
    <w:qFormat/>
    <w:uiPriority w:val="99"/>
    <w:pPr>
      <w:ind w:left="420" w:leftChars="200"/>
    </w:pPr>
    <w:rPr>
      <w:rFonts w:ascii="Calibri" w:hAnsi="Calibri"/>
      <w:szCs w:val="22"/>
    </w:rPr>
  </w:style>
  <w:style w:type="paragraph" w:styleId="16">
    <w:name w:val="HTML Preformatted"/>
    <w:basedOn w:val="1"/>
    <w:link w:val="30"/>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7">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18">
    <w:name w:val="annotation subject"/>
    <w:basedOn w:val="7"/>
    <w:next w:val="7"/>
    <w:link w:val="81"/>
    <w:qFormat/>
    <w:uiPriority w:val="0"/>
    <w:rPr>
      <w:b/>
      <w:bCs/>
    </w:rPr>
  </w:style>
  <w:style w:type="table" w:styleId="20">
    <w:name w:val="Table Grid"/>
    <w:basedOn w:val="19"/>
    <w:qFormat/>
    <w:uiPriority w:val="59"/>
    <w:rPr>
      <w:rFonts w:ascii="Calibri" w:hAnsi="Calibr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2">
    <w:name w:val="Strong"/>
    <w:basedOn w:val="21"/>
    <w:qFormat/>
    <w:locked/>
    <w:uiPriority w:val="0"/>
    <w:rPr>
      <w:b/>
      <w:bCs/>
    </w:rPr>
  </w:style>
  <w:style w:type="character" w:styleId="23">
    <w:name w:val="page number"/>
    <w:uiPriority w:val="0"/>
    <w:rPr>
      <w:rFonts w:ascii="Times New Roman" w:hAnsi="Times New Roman" w:eastAsia="宋体" w:cs="Times New Roman"/>
      <w:sz w:val="18"/>
      <w:szCs w:val="18"/>
    </w:rPr>
  </w:style>
  <w:style w:type="character" w:styleId="24">
    <w:name w:val="Hyperlink"/>
    <w:basedOn w:val="21"/>
    <w:unhideWhenUsed/>
    <w:uiPriority w:val="99"/>
    <w:rPr>
      <w:color w:val="0000FF"/>
      <w:u w:val="single"/>
    </w:rPr>
  </w:style>
  <w:style w:type="character" w:styleId="25">
    <w:name w:val="annotation reference"/>
    <w:qFormat/>
    <w:uiPriority w:val="0"/>
    <w:rPr>
      <w:rFonts w:cs="Times New Roman"/>
      <w:sz w:val="21"/>
      <w:szCs w:val="21"/>
    </w:rPr>
  </w:style>
  <w:style w:type="character" w:customStyle="1" w:styleId="26">
    <w:name w:val="日期 Char"/>
    <w:basedOn w:val="21"/>
    <w:link w:val="10"/>
    <w:qFormat/>
    <w:uiPriority w:val="0"/>
    <w:rPr>
      <w:szCs w:val="21"/>
    </w:rPr>
  </w:style>
  <w:style w:type="character" w:customStyle="1" w:styleId="27">
    <w:name w:val="批注框文本 Char"/>
    <w:basedOn w:val="21"/>
    <w:link w:val="11"/>
    <w:qFormat/>
    <w:uiPriority w:val="99"/>
    <w:rPr>
      <w:sz w:val="0"/>
      <w:szCs w:val="0"/>
    </w:rPr>
  </w:style>
  <w:style w:type="character" w:customStyle="1" w:styleId="28">
    <w:name w:val="页脚 Char"/>
    <w:basedOn w:val="21"/>
    <w:link w:val="12"/>
    <w:qFormat/>
    <w:locked/>
    <w:uiPriority w:val="99"/>
    <w:rPr>
      <w:kern w:val="2"/>
      <w:sz w:val="18"/>
      <w:szCs w:val="18"/>
    </w:rPr>
  </w:style>
  <w:style w:type="character" w:customStyle="1" w:styleId="29">
    <w:name w:val="页眉 Char"/>
    <w:basedOn w:val="21"/>
    <w:link w:val="13"/>
    <w:qFormat/>
    <w:locked/>
    <w:uiPriority w:val="99"/>
    <w:rPr>
      <w:kern w:val="2"/>
      <w:sz w:val="18"/>
      <w:szCs w:val="18"/>
    </w:rPr>
  </w:style>
  <w:style w:type="character" w:customStyle="1" w:styleId="30">
    <w:name w:val="HTML 预设格式 Char"/>
    <w:basedOn w:val="21"/>
    <w:link w:val="16"/>
    <w:semiHidden/>
    <w:qFormat/>
    <w:uiPriority w:val="99"/>
    <w:rPr>
      <w:rFonts w:ascii="Courier New" w:hAnsi="Courier New" w:cs="Courier New"/>
      <w:sz w:val="20"/>
      <w:szCs w:val="20"/>
    </w:rPr>
  </w:style>
  <w:style w:type="paragraph" w:customStyle="1" w:styleId="31">
    <w:name w:val="Table Paragraph"/>
    <w:basedOn w:val="1"/>
    <w:qFormat/>
    <w:uiPriority w:val="1"/>
    <w:rPr>
      <w:rFonts w:ascii="宋体" w:hAnsi="宋体" w:cs="宋体"/>
    </w:rPr>
  </w:style>
  <w:style w:type="table" w:customStyle="1" w:styleId="32">
    <w:name w:val="Table Normal"/>
    <w:semiHidden/>
    <w:unhideWhenUsed/>
    <w:qFormat/>
    <w:uiPriority w:val="2"/>
    <w:tblPr>
      <w:tblCellMar>
        <w:top w:w="0" w:type="dxa"/>
        <w:left w:w="0" w:type="dxa"/>
        <w:bottom w:w="0" w:type="dxa"/>
        <w:right w:w="0" w:type="dxa"/>
      </w:tblCellMar>
    </w:tblPr>
  </w:style>
  <w:style w:type="character" w:customStyle="1" w:styleId="33">
    <w:name w:val="标题 2 Char"/>
    <w:basedOn w:val="21"/>
    <w:link w:val="3"/>
    <w:uiPriority w:val="9"/>
    <w:rPr>
      <w:rFonts w:asciiTheme="majorHAnsi" w:hAnsiTheme="majorHAnsi" w:eastAsiaTheme="majorEastAsia" w:cstheme="majorBidi"/>
      <w:b/>
      <w:bCs/>
      <w:kern w:val="2"/>
      <w:sz w:val="32"/>
      <w:szCs w:val="32"/>
    </w:rPr>
  </w:style>
  <w:style w:type="character" w:customStyle="1" w:styleId="34">
    <w:name w:val="标题 4 Char"/>
    <w:basedOn w:val="21"/>
    <w:link w:val="5"/>
    <w:semiHidden/>
    <w:qFormat/>
    <w:uiPriority w:val="0"/>
    <w:rPr>
      <w:rFonts w:asciiTheme="majorHAnsi" w:hAnsiTheme="majorHAnsi" w:eastAsiaTheme="majorEastAsia" w:cstheme="majorBidi"/>
      <w:b/>
      <w:bCs/>
      <w:kern w:val="2"/>
      <w:sz w:val="28"/>
      <w:szCs w:val="28"/>
    </w:rPr>
  </w:style>
  <w:style w:type="character" w:customStyle="1" w:styleId="35">
    <w:name w:val="jiathis_txt"/>
    <w:basedOn w:val="21"/>
    <w:uiPriority w:val="0"/>
  </w:style>
  <w:style w:type="character" w:customStyle="1" w:styleId="36">
    <w:name w:val="yi"/>
    <w:basedOn w:val="21"/>
    <w:uiPriority w:val="0"/>
  </w:style>
  <w:style w:type="character" w:customStyle="1" w:styleId="37">
    <w:name w:val="hover"/>
    <w:basedOn w:val="21"/>
    <w:uiPriority w:val="0"/>
  </w:style>
  <w:style w:type="paragraph" w:customStyle="1" w:styleId="38">
    <w:name w:val="HTML Top of Form"/>
    <w:basedOn w:val="1"/>
    <w:next w:val="1"/>
    <w:link w:val="39"/>
    <w:semiHidden/>
    <w:unhideWhenUsed/>
    <w:uiPriority w:val="99"/>
    <w:pPr>
      <w:widowControl/>
      <w:pBdr>
        <w:bottom w:val="single" w:color="auto" w:sz="6" w:space="1"/>
      </w:pBdr>
      <w:jc w:val="center"/>
    </w:pPr>
    <w:rPr>
      <w:rFonts w:ascii="Arial" w:hAnsi="Arial" w:cs="Arial"/>
      <w:vanish/>
      <w:kern w:val="0"/>
      <w:sz w:val="16"/>
      <w:szCs w:val="16"/>
    </w:rPr>
  </w:style>
  <w:style w:type="character" w:customStyle="1" w:styleId="39">
    <w:name w:val="z-窗体顶端 Char"/>
    <w:basedOn w:val="21"/>
    <w:link w:val="38"/>
    <w:semiHidden/>
    <w:uiPriority w:val="99"/>
    <w:rPr>
      <w:rFonts w:ascii="Arial" w:hAnsi="Arial" w:cs="Arial"/>
      <w:vanish/>
      <w:sz w:val="16"/>
      <w:szCs w:val="16"/>
    </w:rPr>
  </w:style>
  <w:style w:type="paragraph" w:customStyle="1" w:styleId="40">
    <w:name w:val="HTML Bottom of Form"/>
    <w:basedOn w:val="1"/>
    <w:next w:val="1"/>
    <w:link w:val="41"/>
    <w:semiHidden/>
    <w:unhideWhenUsed/>
    <w:uiPriority w:val="99"/>
    <w:pPr>
      <w:widowControl/>
      <w:pBdr>
        <w:top w:val="single" w:color="auto" w:sz="6" w:space="1"/>
      </w:pBdr>
      <w:jc w:val="center"/>
    </w:pPr>
    <w:rPr>
      <w:rFonts w:ascii="Arial" w:hAnsi="Arial" w:cs="Arial"/>
      <w:vanish/>
      <w:kern w:val="0"/>
      <w:sz w:val="16"/>
      <w:szCs w:val="16"/>
    </w:rPr>
  </w:style>
  <w:style w:type="character" w:customStyle="1" w:styleId="41">
    <w:name w:val="z-窗体底端 Char"/>
    <w:basedOn w:val="21"/>
    <w:link w:val="40"/>
    <w:semiHidden/>
    <w:uiPriority w:val="99"/>
    <w:rPr>
      <w:rFonts w:ascii="Arial" w:hAnsi="Arial" w:cs="Arial"/>
      <w:vanish/>
      <w:sz w:val="16"/>
      <w:szCs w:val="16"/>
    </w:rPr>
  </w:style>
  <w:style w:type="character" w:customStyle="1" w:styleId="42">
    <w:name w:val="moren"/>
    <w:basedOn w:val="21"/>
    <w:qFormat/>
    <w:uiPriority w:val="0"/>
  </w:style>
  <w:style w:type="character" w:customStyle="1" w:styleId="43">
    <w:name w:val="huaguo"/>
    <w:basedOn w:val="21"/>
    <w:qFormat/>
    <w:uiPriority w:val="0"/>
  </w:style>
  <w:style w:type="character" w:customStyle="1" w:styleId="44">
    <w:name w:val="标题 3 Char"/>
    <w:basedOn w:val="21"/>
    <w:link w:val="4"/>
    <w:uiPriority w:val="9"/>
    <w:rPr>
      <w:rFonts w:ascii="Calibri" w:hAnsi="Calibri"/>
      <w:b/>
      <w:bCs/>
      <w:kern w:val="2"/>
      <w:sz w:val="32"/>
      <w:szCs w:val="32"/>
    </w:rPr>
  </w:style>
  <w:style w:type="character" w:customStyle="1" w:styleId="45">
    <w:name w:val="标题 1 Char"/>
    <w:link w:val="2"/>
    <w:uiPriority w:val="9"/>
    <w:rPr>
      <w:b/>
      <w:bCs/>
      <w:kern w:val="2"/>
      <w:sz w:val="32"/>
      <w:szCs w:val="32"/>
    </w:rPr>
  </w:style>
  <w:style w:type="paragraph" w:styleId="46">
    <w:name w:val="List Paragraph"/>
    <w:basedOn w:val="1"/>
    <w:qFormat/>
    <w:uiPriority w:val="34"/>
    <w:pPr>
      <w:ind w:firstLine="420" w:firstLineChars="200"/>
    </w:pPr>
    <w:rPr>
      <w:rFonts w:ascii="Calibri" w:hAnsi="Calibri"/>
      <w:szCs w:val="22"/>
    </w:rPr>
  </w:style>
  <w:style w:type="character" w:customStyle="1" w:styleId="47">
    <w:name w:val="标题 2 字符"/>
    <w:qFormat/>
    <w:uiPriority w:val="9"/>
    <w:rPr>
      <w:rFonts w:ascii="等线 Light" w:hAnsi="等线 Light" w:eastAsia="等线 Light" w:cs="Times New Roman"/>
      <w:b/>
      <w:bCs/>
      <w:kern w:val="2"/>
      <w:sz w:val="32"/>
      <w:szCs w:val="32"/>
    </w:rPr>
  </w:style>
  <w:style w:type="paragraph" w:customStyle="1" w:styleId="48">
    <w:name w:val="TOC Heading"/>
    <w:basedOn w:val="2"/>
    <w:next w:val="1"/>
    <w:unhideWhenUsed/>
    <w:qFormat/>
    <w:uiPriority w:val="39"/>
    <w:pPr>
      <w:keepNext/>
      <w:keepLines/>
      <w:widowControl/>
      <w:spacing w:before="240" w:line="259" w:lineRule="auto"/>
      <w:ind w:left="0"/>
      <w:jc w:val="left"/>
      <w:outlineLvl w:val="9"/>
    </w:pPr>
    <w:rPr>
      <w:rFonts w:ascii="Calibri Light" w:hAnsi="Calibri Light"/>
      <w:b w:val="0"/>
      <w:bCs w:val="0"/>
      <w:color w:val="2E74B5"/>
      <w:kern w:val="0"/>
    </w:rPr>
  </w:style>
  <w:style w:type="character" w:customStyle="1" w:styleId="49">
    <w:name w:val="文档结构图 Char"/>
    <w:basedOn w:val="21"/>
    <w:link w:val="6"/>
    <w:uiPriority w:val="99"/>
    <w:rPr>
      <w:rFonts w:ascii="宋体" w:hAnsi="Calibri" w:cs="宋体"/>
      <w:kern w:val="2"/>
      <w:sz w:val="18"/>
      <w:szCs w:val="18"/>
    </w:rPr>
  </w:style>
  <w:style w:type="character" w:customStyle="1" w:styleId="50">
    <w:name w:val="正文文本 Char"/>
    <w:link w:val="8"/>
    <w:locked/>
    <w:uiPriority w:val="0"/>
    <w:rPr>
      <w:kern w:val="2"/>
      <w:sz w:val="32"/>
      <w:szCs w:val="32"/>
    </w:rPr>
  </w:style>
  <w:style w:type="paragraph" w:customStyle="1" w:styleId="51">
    <w:name w:val="列出段落1"/>
    <w:basedOn w:val="1"/>
    <w:uiPriority w:val="99"/>
    <w:pPr>
      <w:ind w:firstLine="420" w:firstLineChars="200"/>
    </w:pPr>
  </w:style>
  <w:style w:type="paragraph" w:customStyle="1" w:styleId="52">
    <w:name w:val="段"/>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53">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54">
    <w:name w:val="章标题"/>
    <w:next w:val="52"/>
    <w:qFormat/>
    <w:uiPriority w:val="0"/>
    <w:pPr>
      <w:numPr>
        <w:ilvl w:val="1"/>
        <w:numId w:val="1"/>
      </w:numPr>
      <w:spacing w:beforeLines="50" w:afterLines="50"/>
      <w:jc w:val="both"/>
      <w:outlineLvl w:val="1"/>
    </w:pPr>
    <w:rPr>
      <w:rFonts w:ascii="黑体" w:hAnsi="Times New Roman" w:eastAsia="黑体" w:cs="黑体"/>
      <w:sz w:val="21"/>
      <w:szCs w:val="21"/>
      <w:lang w:val="en-US" w:eastAsia="zh-CN" w:bidi="ar-SA"/>
    </w:rPr>
  </w:style>
  <w:style w:type="paragraph" w:customStyle="1" w:styleId="55">
    <w:name w:val="一级条标题"/>
    <w:next w:val="52"/>
    <w:qFormat/>
    <w:uiPriority w:val="0"/>
    <w:pPr>
      <w:numPr>
        <w:ilvl w:val="2"/>
        <w:numId w:val="1"/>
      </w:numPr>
      <w:outlineLvl w:val="2"/>
    </w:pPr>
    <w:rPr>
      <w:rFonts w:ascii="Times New Roman" w:hAnsi="Times New Roman" w:eastAsia="黑体" w:cs="Times New Roman"/>
      <w:sz w:val="21"/>
      <w:szCs w:val="21"/>
      <w:lang w:val="en-US" w:eastAsia="zh-CN" w:bidi="ar-SA"/>
    </w:rPr>
  </w:style>
  <w:style w:type="paragraph" w:customStyle="1" w:styleId="56">
    <w:name w:val="二级条标题"/>
    <w:basedOn w:val="55"/>
    <w:next w:val="52"/>
    <w:qFormat/>
    <w:uiPriority w:val="0"/>
    <w:pPr>
      <w:numPr>
        <w:ilvl w:val="3"/>
      </w:numPr>
      <w:outlineLvl w:val="3"/>
    </w:pPr>
  </w:style>
  <w:style w:type="paragraph" w:customStyle="1" w:styleId="57">
    <w:name w:val="三级条标题"/>
    <w:basedOn w:val="56"/>
    <w:next w:val="52"/>
    <w:qFormat/>
    <w:uiPriority w:val="0"/>
    <w:pPr>
      <w:numPr>
        <w:ilvl w:val="4"/>
      </w:numPr>
      <w:outlineLvl w:val="4"/>
    </w:pPr>
  </w:style>
  <w:style w:type="paragraph" w:customStyle="1" w:styleId="58">
    <w:name w:val="四级条标题"/>
    <w:basedOn w:val="57"/>
    <w:next w:val="52"/>
    <w:qFormat/>
    <w:uiPriority w:val="0"/>
    <w:pPr>
      <w:numPr>
        <w:ilvl w:val="5"/>
      </w:numPr>
      <w:outlineLvl w:val="5"/>
    </w:pPr>
  </w:style>
  <w:style w:type="character" w:customStyle="1" w:styleId="59">
    <w:name w:val="content1"/>
    <w:qFormat/>
    <w:uiPriority w:val="0"/>
    <w:rPr>
      <w:sz w:val="17"/>
      <w:szCs w:val="17"/>
    </w:rPr>
  </w:style>
  <w:style w:type="paragraph" w:customStyle="1" w:styleId="60">
    <w:name w:val="五级条标题"/>
    <w:basedOn w:val="58"/>
    <w:next w:val="52"/>
    <w:qFormat/>
    <w:uiPriority w:val="0"/>
    <w:pPr>
      <w:numPr>
        <w:ilvl w:val="6"/>
      </w:numPr>
      <w:outlineLvl w:val="6"/>
    </w:pPr>
  </w:style>
  <w:style w:type="paragraph" w:customStyle="1" w:styleId="61">
    <w:name w:val="列项——（一级）"/>
    <w:qFormat/>
    <w:uiPriority w:val="0"/>
    <w:pPr>
      <w:widowControl w:val="0"/>
      <w:numPr>
        <w:ilvl w:val="0"/>
        <w:numId w:val="2"/>
      </w:numPr>
      <w:jc w:val="both"/>
    </w:pPr>
    <w:rPr>
      <w:rFonts w:ascii="宋体" w:hAnsi="Times New Roman" w:eastAsia="宋体" w:cs="宋体"/>
      <w:sz w:val="21"/>
      <w:szCs w:val="21"/>
      <w:lang w:val="en-US" w:eastAsia="zh-CN" w:bidi="ar-SA"/>
    </w:rPr>
  </w:style>
  <w:style w:type="paragraph" w:customStyle="1" w:styleId="62">
    <w:name w:val="TOC 标题1"/>
    <w:basedOn w:val="2"/>
    <w:next w:val="1"/>
    <w:qFormat/>
    <w:uiPriority w:val="99"/>
    <w:pPr>
      <w:keepNext/>
      <w:keepLines/>
      <w:widowControl/>
      <w:spacing w:before="480" w:line="276" w:lineRule="auto"/>
      <w:ind w:left="0"/>
      <w:jc w:val="left"/>
      <w:outlineLvl w:val="9"/>
    </w:pPr>
    <w:rPr>
      <w:rFonts w:ascii="Cambria" w:hAnsi="Cambria" w:cs="Cambria"/>
      <w:color w:val="365F91"/>
      <w:kern w:val="0"/>
      <w:sz w:val="28"/>
      <w:szCs w:val="28"/>
    </w:rPr>
  </w:style>
  <w:style w:type="paragraph" w:customStyle="1" w:styleId="63">
    <w:name w:val="无间隔1"/>
    <w:link w:val="64"/>
    <w:qFormat/>
    <w:uiPriority w:val="99"/>
    <w:pPr>
      <w:widowControl w:val="0"/>
      <w:jc w:val="both"/>
    </w:pPr>
    <w:rPr>
      <w:rFonts w:ascii="Times New Roman" w:hAnsi="Times New Roman" w:eastAsia="宋体" w:cs="Times New Roman"/>
      <w:kern w:val="2"/>
      <w:sz w:val="21"/>
      <w:szCs w:val="21"/>
      <w:lang w:val="en-US" w:eastAsia="zh-CN" w:bidi="ar-SA"/>
    </w:rPr>
  </w:style>
  <w:style w:type="character" w:customStyle="1" w:styleId="64">
    <w:name w:val="No Spacing Char"/>
    <w:link w:val="63"/>
    <w:qFormat/>
    <w:locked/>
    <w:uiPriority w:val="99"/>
    <w:rPr>
      <w:kern w:val="2"/>
      <w:sz w:val="21"/>
      <w:szCs w:val="21"/>
    </w:rPr>
  </w:style>
  <w:style w:type="character" w:customStyle="1" w:styleId="65">
    <w:name w:val="line-height"/>
    <w:basedOn w:val="21"/>
    <w:qFormat/>
    <w:uiPriority w:val="0"/>
  </w:style>
  <w:style w:type="paragraph" w:customStyle="1" w:styleId="66">
    <w:name w:val="Char"/>
    <w:basedOn w:val="1"/>
    <w:semiHidden/>
    <w:qFormat/>
    <w:uiPriority w:val="0"/>
    <w:pPr>
      <w:widowControl/>
      <w:spacing w:after="160" w:line="240" w:lineRule="exact"/>
      <w:jc w:val="left"/>
    </w:pPr>
    <w:rPr>
      <w:rFonts w:ascii="Verdana" w:hAnsi="Verdana" w:cs="Verdana"/>
      <w:kern w:val="0"/>
      <w:sz w:val="20"/>
      <w:szCs w:val="20"/>
      <w:lang w:eastAsia="en-US"/>
    </w:rPr>
  </w:style>
  <w:style w:type="paragraph" w:customStyle="1" w:styleId="67">
    <w:name w:val="封面标准号2"/>
    <w:basedOn w:val="1"/>
    <w:uiPriority w:val="0"/>
    <w:pPr>
      <w:framePr w:w="9138" w:h="1244" w:hRule="exact" w:wrap="auto" w:vAnchor="page" w:hAnchor="margin" w:y="2908" w:anchorLock="1"/>
      <w:kinsoku w:val="0"/>
      <w:overflowPunct w:val="0"/>
      <w:autoSpaceDE w:val="0"/>
      <w:autoSpaceDN w:val="0"/>
      <w:adjustRightInd w:val="0"/>
      <w:spacing w:before="357" w:line="280" w:lineRule="exact"/>
      <w:jc w:val="right"/>
      <w:textAlignment w:val="center"/>
    </w:pPr>
    <w:rPr>
      <w:kern w:val="0"/>
      <w:sz w:val="28"/>
      <w:szCs w:val="28"/>
    </w:rPr>
  </w:style>
  <w:style w:type="paragraph" w:customStyle="1" w:styleId="68">
    <w:name w:val="实施日期"/>
    <w:basedOn w:val="1"/>
    <w:uiPriority w:val="0"/>
    <w:pPr>
      <w:framePr w:w="4000" w:h="473" w:hRule="exact" w:vSpace="180" w:wrap="auto" w:vAnchor="margin" w:hAnchor="margin" w:xAlign="right" w:y="13511" w:anchorLock="1"/>
      <w:widowControl/>
      <w:ind w:left="2415" w:hanging="420"/>
      <w:jc w:val="right"/>
    </w:pPr>
    <w:rPr>
      <w:rFonts w:eastAsia="黑体"/>
      <w:kern w:val="0"/>
      <w:sz w:val="28"/>
      <w:szCs w:val="28"/>
    </w:rPr>
  </w:style>
  <w:style w:type="paragraph" w:customStyle="1" w:styleId="69">
    <w:name w:val="图表脚注"/>
    <w:next w:val="1"/>
    <w:uiPriority w:val="0"/>
    <w:pPr>
      <w:spacing w:after="200" w:line="276" w:lineRule="auto"/>
      <w:ind w:left="200" w:leftChars="200" w:hanging="100" w:hangingChars="100"/>
      <w:jc w:val="both"/>
    </w:pPr>
    <w:rPr>
      <w:rFonts w:ascii="宋体" w:hAnsi="Calibri" w:eastAsia="宋体" w:cs="宋体"/>
      <w:sz w:val="18"/>
      <w:szCs w:val="18"/>
      <w:lang w:val="en-US" w:eastAsia="zh-CN" w:bidi="ar-SA"/>
    </w:rPr>
  </w:style>
  <w:style w:type="character" w:customStyle="1" w:styleId="70">
    <w:name w:val="页眉 Char1"/>
    <w:basedOn w:val="21"/>
    <w:semiHidden/>
    <w:uiPriority w:val="99"/>
    <w:rPr>
      <w:sz w:val="18"/>
      <w:szCs w:val="18"/>
    </w:rPr>
  </w:style>
  <w:style w:type="character" w:customStyle="1" w:styleId="71">
    <w:name w:val="页脚 Char1"/>
    <w:basedOn w:val="21"/>
    <w:semiHidden/>
    <w:qFormat/>
    <w:uiPriority w:val="99"/>
    <w:rPr>
      <w:sz w:val="18"/>
      <w:szCs w:val="18"/>
    </w:rPr>
  </w:style>
  <w:style w:type="character" w:customStyle="1" w:styleId="72">
    <w:name w:val="日期 Char1"/>
    <w:basedOn w:val="21"/>
    <w:semiHidden/>
    <w:qFormat/>
    <w:uiPriority w:val="99"/>
  </w:style>
  <w:style w:type="character" w:customStyle="1" w:styleId="73">
    <w:name w:val="批注框文本 Char1"/>
    <w:basedOn w:val="21"/>
    <w:semiHidden/>
    <w:qFormat/>
    <w:uiPriority w:val="99"/>
    <w:rPr>
      <w:sz w:val="18"/>
      <w:szCs w:val="18"/>
    </w:rPr>
  </w:style>
  <w:style w:type="character" w:customStyle="1" w:styleId="74">
    <w:name w:val="文档结构图 Char1"/>
    <w:basedOn w:val="21"/>
    <w:semiHidden/>
    <w:qFormat/>
    <w:uiPriority w:val="99"/>
    <w:rPr>
      <w:rFonts w:ascii="宋体" w:eastAsia="宋体"/>
      <w:sz w:val="18"/>
      <w:szCs w:val="18"/>
    </w:rPr>
  </w:style>
  <w:style w:type="character" w:customStyle="1" w:styleId="75">
    <w:name w:val="正文文本 Char1"/>
    <w:basedOn w:val="21"/>
    <w:semiHidden/>
    <w:uiPriority w:val="99"/>
  </w:style>
  <w:style w:type="paragraph" w:customStyle="1" w:styleId="76">
    <w:name w:val="列出段落2"/>
    <w:basedOn w:val="1"/>
    <w:uiPriority w:val="0"/>
    <w:pPr>
      <w:ind w:firstLine="420" w:firstLineChars="200"/>
    </w:pPr>
  </w:style>
  <w:style w:type="paragraph" w:customStyle="1" w:styleId="77">
    <w:name w:val="无间隔2"/>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78">
    <w:name w:val="TOC 标题2"/>
    <w:basedOn w:val="2"/>
    <w:next w:val="1"/>
    <w:uiPriority w:val="0"/>
    <w:pPr>
      <w:keepNext/>
      <w:keepLines/>
      <w:widowControl/>
      <w:spacing w:before="480" w:line="276" w:lineRule="auto"/>
      <w:ind w:left="0"/>
      <w:jc w:val="left"/>
      <w:outlineLvl w:val="9"/>
    </w:pPr>
    <w:rPr>
      <w:rFonts w:ascii="Cambria" w:hAnsi="Cambria" w:cs="Cambria"/>
      <w:color w:val="365F91"/>
      <w:kern w:val="0"/>
      <w:sz w:val="28"/>
      <w:szCs w:val="28"/>
    </w:rPr>
  </w:style>
  <w:style w:type="character" w:customStyle="1" w:styleId="79">
    <w:name w:val="批注文字 Char"/>
    <w:basedOn w:val="21"/>
    <w:link w:val="7"/>
    <w:uiPriority w:val="0"/>
    <w:rPr>
      <w:kern w:val="2"/>
      <w:sz w:val="21"/>
      <w:szCs w:val="24"/>
    </w:rPr>
  </w:style>
  <w:style w:type="character" w:customStyle="1" w:styleId="80">
    <w:name w:val="批注文字 字符"/>
    <w:semiHidden/>
    <w:qFormat/>
    <w:uiPriority w:val="99"/>
    <w:rPr>
      <w:rFonts w:ascii="Times New Roman" w:hAnsi="Times New Roman"/>
      <w:kern w:val="2"/>
      <w:sz w:val="21"/>
      <w:szCs w:val="24"/>
    </w:rPr>
  </w:style>
  <w:style w:type="character" w:customStyle="1" w:styleId="81">
    <w:name w:val="批注主题 Char"/>
    <w:basedOn w:val="79"/>
    <w:link w:val="18"/>
    <w:qFormat/>
    <w:uiPriority w:val="0"/>
    <w:rPr>
      <w:b/>
      <w:bCs/>
      <w:kern w:val="2"/>
      <w:sz w:val="21"/>
      <w:szCs w:val="24"/>
    </w:rPr>
  </w:style>
  <w:style w:type="character" w:customStyle="1" w:styleId="82">
    <w:name w:val="批注主题 字符"/>
    <w:semiHidden/>
    <w:qFormat/>
    <w:uiPriority w:val="99"/>
    <w:rPr>
      <w:rFonts w:ascii="Times New Roman" w:hAnsi="Times New Roman"/>
      <w:b/>
      <w:bCs/>
      <w:kern w:val="2"/>
      <w:sz w:val="21"/>
      <w:szCs w:val="24"/>
    </w:rPr>
  </w:style>
  <w:style w:type="paragraph" w:styleId="83">
    <w:name w:val="No Spacing"/>
    <w:link w:val="84"/>
    <w:qFormat/>
    <w:uiPriority w:val="1"/>
    <w:pPr>
      <w:widowControl w:val="0"/>
      <w:jc w:val="both"/>
    </w:pPr>
    <w:rPr>
      <w:rFonts w:ascii="Times New Roman" w:hAnsi="Times New Roman" w:eastAsia="宋体" w:cs="Times New Roman"/>
      <w:szCs w:val="24"/>
      <w:lang w:val="en-US" w:eastAsia="zh-CN" w:bidi="ar-SA"/>
    </w:rPr>
  </w:style>
  <w:style w:type="character" w:customStyle="1" w:styleId="84">
    <w:name w:val="无间隔 Char"/>
    <w:link w:val="83"/>
    <w:qFormat/>
    <w:uiPriority w:val="1"/>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31862-85C3-4640-9B3A-1BBF4AC341E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2879</Words>
  <Characters>16414</Characters>
  <Lines>136</Lines>
  <Paragraphs>38</Paragraphs>
  <TotalTime>218</TotalTime>
  <ScaleCrop>false</ScaleCrop>
  <LinksUpToDate>false</LinksUpToDate>
  <CharactersWithSpaces>19255</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2022-03-30T09:25:00Z</dcterms:created>
  <dc:creator>User</dc:creator>
  <cp:lastModifiedBy>朱昊</cp:lastModifiedBy>
  <cp:lastPrinted>2022-04-13T06:41:00Z</cp:lastPrinted>
  <dcterms:modified xsi:type="dcterms:W3CDTF">2022-04-14T09:51:26Z</dcterms:modified>
  <dc:title>关于召开2013年省装协工程分会会长会议的通知</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F3AC032E0ECF4715999B4D698259B953</vt:lpwstr>
  </property>
</Properties>
</file>